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auto"/>
          <w:sz w:val="32"/>
          <w:szCs w:val="32"/>
          <w:lang w:bidi="ar"/>
        </w:rPr>
      </w:pPr>
      <w:r>
        <w:rPr>
          <w:rFonts w:hint="eastAsia" w:ascii="黑体" w:hAnsi="黑体" w:eastAsia="黑体" w:cs="宋体"/>
          <w:color w:val="auto"/>
          <w:sz w:val="32"/>
          <w:szCs w:val="32"/>
          <w:lang w:bidi="ar"/>
        </w:rPr>
        <w:t>附件7：</w:t>
      </w: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rPr>
          <w:rFonts w:ascii="华文中宋" w:hAnsi="华文中宋" w:eastAsia="华文中宋" w:cs="宋体"/>
          <w:b/>
          <w:color w:val="auto"/>
          <w:kern w:val="0"/>
          <w:sz w:val="52"/>
          <w:szCs w:val="52"/>
        </w:rPr>
      </w:pPr>
    </w:p>
    <w:p>
      <w:pPr>
        <w:spacing w:line="540" w:lineRule="exact"/>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方正小标宋_GBK" w:hAnsi="华文中宋" w:eastAsia="方正小标宋_GBK" w:cs="宋体"/>
          <w:b/>
          <w:color w:val="auto"/>
          <w:kern w:val="0"/>
          <w:sz w:val="48"/>
          <w:szCs w:val="48"/>
        </w:rPr>
      </w:pPr>
      <w:bookmarkStart w:id="0" w:name="_Hlk70355250"/>
      <w:r>
        <w:rPr>
          <w:rFonts w:hint="eastAsia" w:ascii="方正小标宋_GBK" w:hAnsi="华文中宋" w:eastAsia="方正小标宋_GBK" w:cs="宋体"/>
          <w:b/>
          <w:color w:val="auto"/>
          <w:kern w:val="0"/>
          <w:sz w:val="48"/>
          <w:szCs w:val="48"/>
        </w:rPr>
        <w:t>伊犁州</w:t>
      </w:r>
      <w:r>
        <w:rPr>
          <w:rFonts w:hint="eastAsia" w:ascii="方正小标宋_GBK" w:hAnsi="华文中宋" w:eastAsia="方正小标宋_GBK" w:cs="宋体"/>
          <w:b/>
          <w:color w:val="auto"/>
          <w:kern w:val="0"/>
          <w:sz w:val="48"/>
          <w:szCs w:val="48"/>
          <w:lang w:val="en-US" w:eastAsia="zh-CN"/>
        </w:rPr>
        <w:t>特克斯县卫生计生综合监督</w:t>
      </w:r>
      <w:bookmarkStart w:id="36" w:name="_GoBack"/>
      <w:r>
        <w:rPr>
          <w:rFonts w:hint="eastAsia" w:ascii="方正小标宋_GBK" w:hAnsi="华文中宋" w:eastAsia="方正小标宋_GBK" w:cs="宋体"/>
          <w:b/>
          <w:color w:val="auto"/>
          <w:kern w:val="0"/>
          <w:sz w:val="48"/>
          <w:szCs w:val="48"/>
          <w:lang w:val="en-US" w:eastAsia="zh-CN"/>
        </w:rPr>
        <w:t>执</w:t>
      </w:r>
      <w:bookmarkEnd w:id="36"/>
      <w:r>
        <w:rPr>
          <w:rFonts w:hint="eastAsia" w:ascii="方正小标宋_GBK" w:hAnsi="华文中宋" w:eastAsia="方正小标宋_GBK" w:cs="宋体"/>
          <w:b/>
          <w:color w:val="auto"/>
          <w:kern w:val="0"/>
          <w:sz w:val="48"/>
          <w:szCs w:val="48"/>
          <w:lang w:val="en-US" w:eastAsia="zh-CN"/>
        </w:rPr>
        <w:t>法局</w:t>
      </w:r>
      <w:r>
        <w:rPr>
          <w:rFonts w:hint="eastAsia" w:ascii="方正小标宋_GBK" w:hAnsi="华文中宋" w:eastAsia="方正小标宋_GBK" w:cs="宋体"/>
          <w:b/>
          <w:color w:val="auto"/>
          <w:kern w:val="0"/>
          <w:sz w:val="48"/>
          <w:szCs w:val="48"/>
        </w:rPr>
        <w:t>部门单位整体支出绩效自评报告</w:t>
      </w:r>
    </w:p>
    <w:bookmarkEnd w:id="0"/>
    <w:p>
      <w:pPr>
        <w:spacing w:line="540" w:lineRule="exact"/>
        <w:jc w:val="center"/>
        <w:rPr>
          <w:rFonts w:ascii="华文中宋" w:hAnsi="华文中宋" w:eastAsia="华文中宋" w:cs="宋体"/>
          <w:b/>
          <w:color w:val="auto"/>
          <w:kern w:val="0"/>
          <w:sz w:val="52"/>
          <w:szCs w:val="52"/>
        </w:rPr>
      </w:pPr>
    </w:p>
    <w:p>
      <w:pP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w:t>
      </w:r>
      <w:r>
        <w:rPr>
          <w:rFonts w:hAnsi="宋体" w:eastAsia="仿宋_GB2312" w:cs="宋体"/>
          <w:color w:val="auto"/>
          <w:kern w:val="0"/>
          <w:sz w:val="36"/>
          <w:szCs w:val="36"/>
        </w:rPr>
        <w:t>2021</w:t>
      </w:r>
      <w:r>
        <w:rPr>
          <w:rFonts w:hint="eastAsia" w:hAnsi="宋体" w:eastAsia="仿宋_GB2312" w:cs="宋体"/>
          <w:color w:val="auto"/>
          <w:kern w:val="0"/>
          <w:sz w:val="36"/>
          <w:szCs w:val="36"/>
        </w:rPr>
        <w:t>年度）</w:t>
      </w: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rPr>
          <w:rFonts w:hAnsi="宋体" w:eastAsia="仿宋_GB2312" w:cs="宋体"/>
          <w:color w:val="auto"/>
          <w:kern w:val="0"/>
          <w:sz w:val="30"/>
          <w:szCs w:val="30"/>
        </w:rPr>
      </w:pPr>
    </w:p>
    <w:p>
      <w:pPr>
        <w:spacing w:line="700" w:lineRule="exact"/>
        <w:ind w:firstLine="849" w:firstLineChars="236"/>
        <w:jc w:val="left"/>
        <w:rPr>
          <w:rFonts w:hint="eastAsia" w:hAnsi="宋体" w:eastAsia="仿宋_GB2312" w:cs="宋体"/>
          <w:color w:val="auto"/>
          <w:kern w:val="0"/>
          <w:sz w:val="36"/>
          <w:szCs w:val="36"/>
        </w:rPr>
      </w:pPr>
      <w:r>
        <w:rPr>
          <w:rFonts w:hint="eastAsia" w:hAnsi="宋体" w:eastAsia="仿宋_GB2312" w:cs="宋体"/>
          <w:color w:val="auto"/>
          <w:kern w:val="0"/>
          <w:sz w:val="36"/>
          <w:szCs w:val="36"/>
        </w:rPr>
        <w:t xml:space="preserve">  </w:t>
      </w:r>
    </w:p>
    <w:p>
      <w:pPr>
        <w:spacing w:line="700" w:lineRule="exact"/>
        <w:jc w:val="left"/>
        <w:rPr>
          <w:rFonts w:hint="default" w:hAnsi="宋体" w:eastAsia="仿宋_GB2312" w:cs="宋体"/>
          <w:color w:val="auto"/>
          <w:kern w:val="0"/>
          <w:sz w:val="36"/>
          <w:szCs w:val="36"/>
          <w:lang w:val="en-US"/>
        </w:rPr>
      </w:pPr>
      <w:r>
        <w:rPr>
          <w:rFonts w:hint="eastAsia" w:hAnsi="宋体" w:eastAsia="仿宋_GB2312" w:cs="宋体"/>
          <w:color w:val="auto"/>
          <w:kern w:val="0"/>
          <w:sz w:val="36"/>
          <w:szCs w:val="36"/>
        </w:rPr>
        <w:t>部门单位名称（公章）：</w:t>
      </w:r>
      <w:r>
        <w:rPr>
          <w:rFonts w:hint="eastAsia" w:hAnsi="宋体" w:eastAsia="仿宋_GB2312" w:cs="宋体"/>
          <w:color w:val="auto"/>
          <w:kern w:val="0"/>
          <w:sz w:val="36"/>
          <w:szCs w:val="36"/>
          <w:lang w:val="en-US" w:eastAsia="zh-CN"/>
        </w:rPr>
        <w:t>特克斯县卫生计生综合监督执法局</w:t>
      </w:r>
    </w:p>
    <w:p>
      <w:pP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填报时间：</w:t>
      </w:r>
      <w:r>
        <w:rPr>
          <w:rFonts w:hAnsi="宋体" w:eastAsia="仿宋_GB2312" w:cs="宋体"/>
          <w:color w:val="auto"/>
          <w:kern w:val="0"/>
          <w:sz w:val="36"/>
          <w:szCs w:val="36"/>
        </w:rPr>
        <w:t>2022</w:t>
      </w:r>
      <w:r>
        <w:rPr>
          <w:rFonts w:hint="eastAsia" w:hAnsi="宋体" w:eastAsia="仿宋_GB2312" w:cs="宋体"/>
          <w:color w:val="auto"/>
          <w:kern w:val="0"/>
          <w:sz w:val="36"/>
          <w:szCs w:val="36"/>
        </w:rPr>
        <w:t xml:space="preserve"> 年 </w:t>
      </w:r>
      <w:r>
        <w:rPr>
          <w:rFonts w:hint="eastAsia" w:hAnsi="宋体" w:eastAsia="仿宋_GB2312" w:cs="宋体"/>
          <w:color w:val="auto"/>
          <w:kern w:val="0"/>
          <w:sz w:val="36"/>
          <w:szCs w:val="36"/>
          <w:lang w:val="en-US" w:eastAsia="zh-CN"/>
        </w:rPr>
        <w:t>4</w:t>
      </w:r>
      <w:r>
        <w:rPr>
          <w:rFonts w:hint="eastAsia" w:hAnsi="宋体" w:eastAsia="仿宋_GB2312" w:cs="宋体"/>
          <w:color w:val="auto"/>
          <w:kern w:val="0"/>
          <w:sz w:val="36"/>
          <w:szCs w:val="36"/>
        </w:rPr>
        <w:t xml:space="preserve"> 月</w:t>
      </w:r>
      <w:r>
        <w:rPr>
          <w:rFonts w:hint="eastAsia" w:hAnsi="宋体" w:eastAsia="仿宋_GB2312" w:cs="宋体"/>
          <w:color w:val="auto"/>
          <w:kern w:val="0"/>
          <w:sz w:val="36"/>
          <w:szCs w:val="36"/>
          <w:lang w:val="en-US" w:eastAsia="zh-CN"/>
        </w:rPr>
        <w:t>25</w:t>
      </w:r>
      <w:r>
        <w:rPr>
          <w:rFonts w:hint="eastAsia" w:hAnsi="宋体" w:eastAsia="仿宋_GB2312" w:cs="宋体"/>
          <w:color w:val="auto"/>
          <w:kern w:val="0"/>
          <w:sz w:val="36"/>
          <w:szCs w:val="36"/>
        </w:rPr>
        <w:t>日</w:t>
      </w:r>
    </w:p>
    <w:p>
      <w:pPr>
        <w:pStyle w:val="3"/>
        <w:spacing w:line="360" w:lineRule="auto"/>
        <w:rPr>
          <w:rFonts w:ascii="仿宋" w:hAnsi="仿宋" w:eastAsia="仿宋"/>
          <w:color w:val="auto"/>
          <w:sz w:val="36"/>
          <w:szCs w:val="36"/>
          <w:lang w:bidi="ar"/>
        </w:rPr>
      </w:pPr>
      <w:bookmarkStart w:id="1" w:name="_Toc70450289"/>
      <w:r>
        <w:rPr>
          <w:rFonts w:hint="eastAsia" w:ascii="仿宋" w:hAnsi="仿宋" w:eastAsia="仿宋"/>
          <w:color w:val="auto"/>
          <w:sz w:val="36"/>
          <w:szCs w:val="36"/>
          <w:lang w:bidi="ar"/>
        </w:rPr>
        <w:t>一、基本概况</w:t>
      </w:r>
      <w:bookmarkEnd w:id="1"/>
    </w:p>
    <w:p>
      <w:pPr>
        <w:pStyle w:val="4"/>
        <w:spacing w:line="360" w:lineRule="auto"/>
        <w:rPr>
          <w:rStyle w:val="16"/>
          <w:rFonts w:ascii="仿宋" w:hAnsi="仿宋" w:eastAsia="仿宋"/>
          <w:b/>
          <w:bCs/>
          <w:color w:val="auto"/>
        </w:rPr>
      </w:pPr>
      <w:bookmarkStart w:id="2" w:name="_Toc70450290"/>
      <w:r>
        <w:rPr>
          <w:rStyle w:val="16"/>
          <w:rFonts w:hint="eastAsia" w:ascii="仿宋" w:hAnsi="仿宋" w:eastAsia="仿宋"/>
          <w:b/>
          <w:bCs/>
          <w:color w:val="auto"/>
        </w:rPr>
        <w:t>（一）部门单位基本情况</w:t>
      </w:r>
      <w:bookmarkEnd w:id="2"/>
    </w:p>
    <w:p>
      <w:pPr>
        <w:pStyle w:val="5"/>
        <w:spacing w:line="360" w:lineRule="auto"/>
        <w:ind w:firstLine="546" w:firstLineChars="200"/>
        <w:rPr>
          <w:rStyle w:val="16"/>
          <w:rFonts w:hint="eastAsia" w:ascii="仿宋_GB2312" w:hAnsi="楷体" w:eastAsia="仿宋_GB2312" w:cstheme="minorBidi"/>
          <w:b/>
          <w:bCs w:val="0"/>
          <w:color w:val="auto"/>
          <w:spacing w:val="-4"/>
          <w:kern w:val="2"/>
          <w:sz w:val="28"/>
          <w:szCs w:val="28"/>
          <w:lang w:val="en-US" w:eastAsia="zh-CN" w:bidi="ar-SA"/>
        </w:rPr>
      </w:pPr>
      <w:bookmarkStart w:id="3" w:name="_Toc70450291"/>
      <w:r>
        <w:rPr>
          <w:rStyle w:val="16"/>
          <w:rFonts w:hint="eastAsia" w:ascii="仿宋_GB2312" w:hAnsi="楷体" w:eastAsia="仿宋_GB2312" w:cstheme="minorBidi"/>
          <w:b/>
          <w:bCs w:val="0"/>
          <w:color w:val="auto"/>
          <w:spacing w:val="-4"/>
          <w:kern w:val="2"/>
          <w:sz w:val="28"/>
          <w:szCs w:val="28"/>
          <w:lang w:val="en-US" w:eastAsia="zh-CN" w:bidi="ar-SA"/>
        </w:rPr>
        <w:t>1、主要职能</w:t>
      </w:r>
      <w:bookmarkEnd w:id="3"/>
    </w:p>
    <w:p>
      <w:pPr>
        <w:widowControl/>
        <w:spacing w:line="520" w:lineRule="atLeast"/>
        <w:ind w:firstLine="544" w:firstLineChars="200"/>
        <w:jc w:val="left"/>
        <w:rPr>
          <w:rStyle w:val="16"/>
          <w:rFonts w:hint="eastAsia" w:ascii="仿宋_GB2312" w:hAnsi="楷体" w:eastAsia="仿宋_GB2312" w:cstheme="minorBidi"/>
          <w:b w:val="0"/>
          <w:color w:val="auto"/>
          <w:spacing w:val="-4"/>
          <w:kern w:val="2"/>
          <w:sz w:val="28"/>
          <w:szCs w:val="28"/>
          <w:lang w:val="en-US" w:eastAsia="zh-CN" w:bidi="ar-SA"/>
        </w:rPr>
      </w:pPr>
      <w:bookmarkStart w:id="4" w:name="_Toc70450292"/>
      <w:r>
        <w:rPr>
          <w:rStyle w:val="16"/>
          <w:rFonts w:hint="eastAsia" w:ascii="仿宋_GB2312" w:hAnsi="楷体" w:eastAsia="仿宋_GB2312" w:cstheme="minorBidi"/>
          <w:b w:val="0"/>
          <w:color w:val="auto"/>
          <w:spacing w:val="-4"/>
          <w:kern w:val="2"/>
          <w:sz w:val="28"/>
          <w:szCs w:val="28"/>
          <w:lang w:val="en-US" w:eastAsia="zh-CN" w:bidi="ar-SA"/>
        </w:rPr>
        <w:t>负责监督检查卫生健康法律法规的落实情况，承担公共场所 卫生、饮用水卫生、学校卫生、医疗卫生职业卫生、放射卫生、 传染病防治、****和中医服务等综合监督行政执法职责；承 担本县卫生健康综合监督执法机构业务指导培训和检查考核；指 重大活动的公共卫生监督保障，组织开展卫生监督应急工作，为 人民身体健康提供卫生监督检验保障。卫生许可审核；卫生许可 申请受理与组织审核；卫生监督管理；医疗机及其执业人员的执 业资质、执业行为、传染病防治监督,学校卫生监督,生活饮用水 监督,医疗服务的监督检查工作；对违法违规行为立案调查和处 理，负责相关举报、投诉的调查处理</w:t>
      </w:r>
    </w:p>
    <w:p>
      <w:pPr>
        <w:pStyle w:val="5"/>
        <w:spacing w:line="360" w:lineRule="auto"/>
        <w:ind w:firstLine="562" w:firstLineChars="200"/>
        <w:rPr>
          <w:rStyle w:val="16"/>
          <w:rFonts w:hint="eastAsia" w:ascii="仿宋" w:hAnsi="仿宋" w:eastAsia="仿宋"/>
          <w:b/>
          <w:bCs/>
          <w:color w:val="auto"/>
          <w:sz w:val="28"/>
          <w:szCs w:val="28"/>
          <w:lang w:val="en-US" w:eastAsia="zh-CN"/>
        </w:rPr>
      </w:pPr>
      <w:r>
        <w:rPr>
          <w:rStyle w:val="16"/>
          <w:rFonts w:hint="eastAsia" w:ascii="仿宋" w:hAnsi="仿宋" w:eastAsia="仿宋"/>
          <w:b/>
          <w:bCs/>
          <w:color w:val="auto"/>
          <w:sz w:val="28"/>
          <w:szCs w:val="28"/>
          <w:lang w:val="en-US" w:eastAsia="zh-CN"/>
        </w:rPr>
        <w:t>2、机构人员构成</w:t>
      </w:r>
      <w:bookmarkEnd w:id="4"/>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（1）组织机构设置：</w:t>
      </w:r>
    </w:p>
    <w:p>
      <w:pPr>
        <w:pStyle w:val="5"/>
        <w:spacing w:line="360" w:lineRule="auto"/>
        <w:ind w:firstLine="544" w:firstLineChars="200"/>
        <w:rPr>
          <w:rStyle w:val="16"/>
          <w:rFonts w:hint="eastAsia" w:ascii="仿宋_GB2312" w:hAnsi="楷体" w:eastAsia="仿宋_GB2312" w:cstheme="minorBidi"/>
          <w:b w:val="0"/>
          <w:bCs/>
          <w:color w:val="auto"/>
          <w:spacing w:val="-4"/>
          <w:kern w:val="2"/>
          <w:sz w:val="28"/>
          <w:szCs w:val="28"/>
          <w:lang w:val="en-US" w:eastAsia="zh-CN" w:bidi="ar-SA"/>
        </w:rPr>
      </w:pPr>
      <w:r>
        <w:rPr>
          <w:rStyle w:val="16"/>
          <w:rFonts w:hint="eastAsia" w:ascii="仿宋_GB2312" w:hAnsi="楷体" w:eastAsia="仿宋_GB2312" w:cstheme="minorBidi"/>
          <w:b w:val="0"/>
          <w:bCs/>
          <w:color w:val="auto"/>
          <w:spacing w:val="-4"/>
          <w:kern w:val="2"/>
          <w:sz w:val="28"/>
          <w:szCs w:val="28"/>
          <w:lang w:val="en-US" w:eastAsia="zh-CN" w:bidi="ar-SA"/>
        </w:rPr>
        <w:t>特克斯县卫生计生综合监督执法局无下属预算单位，下设 4 个科室，分别是：稽查科，综合监督科，办公室，财务室。</w:t>
      </w:r>
    </w:p>
    <w:p>
      <w:pPr>
        <w:spacing w:line="360" w:lineRule="auto"/>
        <w:ind w:firstLine="544" w:firstLineChars="200"/>
        <w:rPr>
          <w:rStyle w:val="16"/>
          <w:rFonts w:hint="eastAsia" w:ascii="仿宋_GB2312" w:hAnsi="楷体" w:eastAsia="仿宋_GB2312" w:cstheme="minorBidi"/>
          <w:b w:val="0"/>
          <w:color w:val="auto"/>
          <w:spacing w:val="-4"/>
          <w:kern w:val="2"/>
          <w:sz w:val="28"/>
          <w:szCs w:val="28"/>
          <w:lang w:val="en-US" w:eastAsia="zh-CN" w:bidi="ar-SA"/>
        </w:rPr>
      </w:pPr>
      <w:r>
        <w:rPr>
          <w:rStyle w:val="16"/>
          <w:rFonts w:hint="eastAsia" w:ascii="仿宋_GB2312" w:hAnsi="楷体" w:eastAsia="仿宋_GB2312" w:cstheme="minorBidi"/>
          <w:b w:val="0"/>
          <w:color w:val="auto"/>
          <w:spacing w:val="-4"/>
          <w:kern w:val="2"/>
          <w:sz w:val="28"/>
          <w:szCs w:val="28"/>
          <w:lang w:val="en-US" w:eastAsia="zh-CN" w:bidi="ar-SA"/>
        </w:rPr>
        <w:t>（2）特克斯县卫生计生综合监督执法局实有在职人员为12人，其中：</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行政在职12人（上年12人），</w:t>
      </w:r>
      <w:r>
        <w:rPr>
          <w:rStyle w:val="16"/>
          <w:rFonts w:hint="eastAsia" w:ascii="仿宋_GB2312" w:hAnsi="楷体" w:eastAsia="仿宋_GB2312" w:cs="Times New Roman"/>
          <w:b w:val="0"/>
          <w:spacing w:val="-4"/>
          <w:sz w:val="28"/>
          <w:szCs w:val="28"/>
          <w:lang w:val="en-US" w:eastAsia="zh-CN"/>
        </w:rPr>
        <w:t>与上年一致</w:t>
      </w:r>
      <w:r>
        <w:rPr>
          <w:rStyle w:val="16"/>
          <w:rFonts w:hint="eastAsia" w:ascii="仿宋_GB2312" w:hAnsi="楷体" w:eastAsia="仿宋_GB2312"/>
          <w:b w:val="0"/>
          <w:spacing w:val="-4"/>
          <w:sz w:val="28"/>
          <w:szCs w:val="28"/>
          <w:lang w:val="en-US" w:eastAsia="zh-CN"/>
        </w:rPr>
        <w:t>；</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b w:val="0"/>
          <w:spacing w:val="-4"/>
          <w:sz w:val="28"/>
          <w:szCs w:val="28"/>
        </w:rPr>
        <w:t>实有离休人员</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w:t>
      </w:r>
      <w:r>
        <w:rPr>
          <w:rStyle w:val="16"/>
          <w:rFonts w:hint="eastAsia" w:ascii="仿宋_GB2312" w:hAnsi="楷体" w:eastAsia="仿宋_GB2312" w:cs="Times New Roman"/>
          <w:b w:val="0"/>
          <w:spacing w:val="-4"/>
          <w:sz w:val="28"/>
          <w:szCs w:val="28"/>
          <w:lang w:val="en-US" w:eastAsia="zh-CN"/>
        </w:rPr>
        <w:t>与上年一致;</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实有退休人员3人（上3人）,与上年一致</w:t>
      </w:r>
      <w:r>
        <w:rPr>
          <w:rStyle w:val="16"/>
          <w:rFonts w:hint="eastAsia" w:ascii="仿宋_GB2312" w:hAnsi="楷体" w:eastAsia="仿宋_GB2312"/>
          <w:b w:val="0"/>
          <w:spacing w:val="-4"/>
          <w:sz w:val="28"/>
          <w:szCs w:val="28"/>
          <w:lang w:val="en-US" w:eastAsia="zh-CN"/>
        </w:rPr>
        <w:t>。</w:t>
      </w:r>
    </w:p>
    <w:p>
      <w:pPr>
        <w:spacing w:line="360" w:lineRule="auto"/>
        <w:ind w:firstLine="544" w:firstLineChars="200"/>
        <w:rPr>
          <w:rStyle w:val="16"/>
          <w:rFonts w:ascii="仿宋_GB2312" w:hAnsi="楷体" w:eastAsia="仿宋_GB2312"/>
          <w:b w:val="0"/>
          <w:color w:val="auto"/>
          <w:spacing w:val="-4"/>
          <w:sz w:val="28"/>
          <w:szCs w:val="28"/>
        </w:rPr>
      </w:pPr>
    </w:p>
    <w:p>
      <w:pPr>
        <w:pStyle w:val="5"/>
        <w:spacing w:line="360" w:lineRule="auto"/>
        <w:ind w:firstLine="562" w:firstLineChars="200"/>
        <w:rPr>
          <w:rStyle w:val="16"/>
          <w:rFonts w:ascii="仿宋" w:hAnsi="仿宋" w:eastAsia="仿宋"/>
          <w:b/>
          <w:bCs/>
          <w:color w:val="auto"/>
        </w:rPr>
      </w:pPr>
      <w:bookmarkStart w:id="5" w:name="_Toc70450293"/>
      <w:r>
        <w:rPr>
          <w:rStyle w:val="16"/>
          <w:rFonts w:ascii="仿宋" w:hAnsi="仿宋" w:eastAsia="仿宋"/>
          <w:b/>
          <w:bCs/>
          <w:color w:val="auto"/>
        </w:rPr>
        <w:t>3</w:t>
      </w:r>
      <w:r>
        <w:rPr>
          <w:rStyle w:val="16"/>
          <w:rFonts w:hint="eastAsia" w:ascii="仿宋" w:hAnsi="仿宋" w:eastAsia="仿宋"/>
          <w:b/>
          <w:bCs/>
          <w:color w:val="auto"/>
        </w:rPr>
        <w:t>、重点工作计划</w:t>
      </w:r>
      <w:bookmarkEnd w:id="5"/>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bookmarkStart w:id="6" w:name="_Toc70450294"/>
      <w:r>
        <w:rPr>
          <w:rStyle w:val="16"/>
          <w:rFonts w:hint="eastAsia" w:ascii="仿宋_GB2312" w:hAnsi="楷体" w:eastAsia="仿宋_GB2312" w:cs="Times New Roman"/>
          <w:b w:val="0"/>
          <w:spacing w:val="-4"/>
          <w:kern w:val="2"/>
          <w:sz w:val="28"/>
          <w:szCs w:val="28"/>
          <w:lang w:val="en-US" w:eastAsia="zh-CN" w:bidi="ar-SA"/>
        </w:rPr>
        <w:t>1、开展对医疗机构疫情防控指导工作。在疫情防控前期主要指导医疗机构预检分诊、发热门诊的设置，处置流程，疫情防控制度落实完善情况以及消杀、医疗废物、医疗污水处置，医护人员的个人防护情况等工作；对集中隔离点主要指导隔离观察点的布局规划、消毒落实情况、医疗废物和生活垃圾、医疗污水的处置情况、被观察人员的体温筛查情况、医护人员的个人防护情况等内容。</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2、对复工复产单位进行指导。主要对将要复工的单位进行消毒液的配制，消毒的范围，消毒、防护物资的配备，进店人员的体温筛查情况，工作人员的个人防护等工作进行指导。</w:t>
      </w:r>
    </w:p>
    <w:p>
      <w:pPr>
        <w:pStyle w:val="4"/>
        <w:spacing w:line="360" w:lineRule="auto"/>
        <w:rPr>
          <w:rStyle w:val="16"/>
          <w:rFonts w:ascii="仿宋" w:hAnsi="仿宋" w:eastAsia="仿宋"/>
          <w:b/>
          <w:bCs/>
          <w:color w:val="auto"/>
          <w:sz w:val="28"/>
          <w:szCs w:val="28"/>
        </w:rPr>
      </w:pPr>
      <w:r>
        <w:rPr>
          <w:rStyle w:val="16"/>
          <w:rFonts w:hint="eastAsia" w:ascii="仿宋" w:hAnsi="仿宋" w:eastAsia="仿宋"/>
          <w:b/>
          <w:bCs/>
          <w:color w:val="auto"/>
          <w:sz w:val="28"/>
          <w:szCs w:val="28"/>
        </w:rPr>
        <w:t>（二）部门单位整体支出规模、</w:t>
      </w:r>
      <w:bookmarkStart w:id="7" w:name="_Hlk70339807"/>
      <w:r>
        <w:rPr>
          <w:rStyle w:val="16"/>
          <w:rFonts w:hint="eastAsia" w:ascii="仿宋" w:hAnsi="仿宋" w:eastAsia="仿宋"/>
          <w:b/>
          <w:bCs/>
          <w:color w:val="auto"/>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color w:val="auto"/>
        </w:rPr>
      </w:pPr>
      <w:bookmarkStart w:id="8" w:name="_Toc70450295"/>
      <w:r>
        <w:rPr>
          <w:rStyle w:val="16"/>
          <w:rFonts w:hint="eastAsia" w:ascii="仿宋" w:hAnsi="仿宋" w:eastAsia="仿宋"/>
          <w:b/>
          <w:bCs/>
          <w:color w:val="auto"/>
        </w:rPr>
        <w:t>1、部门单位整体支出规模</w:t>
      </w:r>
      <w:bookmarkEnd w:id="8"/>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color w:val="auto"/>
          <w:spacing w:val="-4"/>
          <w:sz w:val="28"/>
          <w:szCs w:val="28"/>
        </w:rPr>
        <w:t>2021年批复我部门预算为</w:t>
      </w:r>
      <w:r>
        <w:rPr>
          <w:rStyle w:val="16"/>
          <w:rFonts w:hint="eastAsia" w:ascii="仿宋_GB2312" w:hAnsi="楷体" w:eastAsia="仿宋_GB2312"/>
          <w:b w:val="0"/>
          <w:color w:val="auto"/>
          <w:spacing w:val="-4"/>
          <w:sz w:val="28"/>
          <w:szCs w:val="28"/>
          <w:lang w:val="en-US" w:eastAsia="zh-CN"/>
        </w:rPr>
        <w:t>163.97</w:t>
      </w:r>
      <w:r>
        <w:rPr>
          <w:rStyle w:val="16"/>
          <w:rFonts w:hint="eastAsia" w:ascii="仿宋_GB2312" w:hAnsi="楷体" w:eastAsia="仿宋_GB2312"/>
          <w:b w:val="0"/>
          <w:color w:val="auto"/>
          <w:spacing w:val="-4"/>
          <w:sz w:val="28"/>
          <w:szCs w:val="28"/>
        </w:rPr>
        <w:t>万元，其中：财政拨款为</w:t>
      </w:r>
      <w:r>
        <w:rPr>
          <w:rStyle w:val="16"/>
          <w:rFonts w:hint="eastAsia" w:ascii="仿宋_GB2312" w:hAnsi="楷体" w:eastAsia="仿宋_GB2312"/>
          <w:b w:val="0"/>
          <w:color w:val="auto"/>
          <w:spacing w:val="-4"/>
          <w:sz w:val="28"/>
          <w:szCs w:val="28"/>
          <w:lang w:val="en-US" w:eastAsia="zh-CN"/>
        </w:rPr>
        <w:t>163.97</w:t>
      </w:r>
      <w:r>
        <w:rPr>
          <w:rStyle w:val="16"/>
          <w:rFonts w:hint="eastAsia" w:ascii="仿宋_GB2312" w:hAnsi="楷体" w:eastAsia="仿宋_GB2312"/>
          <w:b w:val="0"/>
          <w:color w:val="auto"/>
          <w:spacing w:val="-4"/>
          <w:sz w:val="28"/>
          <w:szCs w:val="28"/>
        </w:rPr>
        <w:t>万元，年中追加</w:t>
      </w:r>
      <w:r>
        <w:rPr>
          <w:rStyle w:val="16"/>
          <w:rFonts w:hint="eastAsia" w:ascii="仿宋_GB2312" w:hAnsi="楷体" w:eastAsia="仿宋_GB2312"/>
          <w:b w:val="0"/>
          <w:color w:val="auto"/>
          <w:spacing w:val="-4"/>
          <w:sz w:val="28"/>
          <w:szCs w:val="28"/>
          <w:lang w:val="en-US" w:eastAsia="zh-CN"/>
        </w:rPr>
        <w:t>32.6</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spacing w:val="-4"/>
          <w:sz w:val="28"/>
          <w:szCs w:val="28"/>
        </w:rPr>
        <w:t>，调整率</w:t>
      </w:r>
      <w:r>
        <w:rPr>
          <w:rStyle w:val="16"/>
          <w:rFonts w:hint="eastAsia" w:ascii="仿宋_GB2312" w:hAnsi="楷体" w:eastAsia="仿宋_GB2312"/>
          <w:b w:val="0"/>
          <w:spacing w:val="-4"/>
          <w:sz w:val="28"/>
          <w:szCs w:val="28"/>
          <w:lang w:val="en-US" w:eastAsia="zh-CN"/>
        </w:rPr>
        <w:t>24.82</w:t>
      </w:r>
      <w:r>
        <w:rPr>
          <w:rStyle w:val="16"/>
          <w:rFonts w:hint="eastAsia" w:ascii="仿宋_GB2312" w:hAnsi="楷体" w:eastAsia="仿宋_GB2312"/>
          <w:b w:val="0"/>
          <w:spacing w:val="-4"/>
          <w:sz w:val="28"/>
          <w:szCs w:val="28"/>
        </w:rPr>
        <w:t>%。对比上年</w:t>
      </w:r>
      <w:r>
        <w:rPr>
          <w:rStyle w:val="16"/>
          <w:rFonts w:hint="eastAsia" w:ascii="仿宋_GB2312" w:hAnsi="楷体" w:eastAsia="仿宋_GB2312"/>
          <w:b w:val="0"/>
          <w:spacing w:val="-4"/>
          <w:sz w:val="28"/>
          <w:szCs w:val="28"/>
          <w:lang w:val="en-US" w:eastAsia="zh-CN"/>
        </w:rPr>
        <w:t>159.13</w:t>
      </w:r>
      <w:r>
        <w:rPr>
          <w:rStyle w:val="16"/>
          <w:rFonts w:hint="eastAsia" w:ascii="仿宋_GB2312" w:hAnsi="楷体" w:eastAsia="仿宋_GB2312"/>
          <w:b w:val="0"/>
          <w:spacing w:val="-4"/>
          <w:sz w:val="28"/>
          <w:szCs w:val="28"/>
        </w:rPr>
        <w:t>万元减少</w:t>
      </w:r>
      <w:r>
        <w:rPr>
          <w:rStyle w:val="16"/>
          <w:rFonts w:hint="eastAsia" w:ascii="仿宋_GB2312" w:hAnsi="楷体" w:eastAsia="仿宋_GB2312"/>
          <w:b w:val="0"/>
          <w:spacing w:val="-4"/>
          <w:sz w:val="28"/>
          <w:szCs w:val="28"/>
          <w:lang w:val="en-US" w:eastAsia="zh-CN"/>
        </w:rPr>
        <w:t>27.76</w:t>
      </w:r>
      <w:r>
        <w:rPr>
          <w:rStyle w:val="16"/>
          <w:rFonts w:hint="eastAsia" w:ascii="仿宋_GB2312" w:hAnsi="楷体" w:eastAsia="仿宋_GB2312"/>
          <w:b w:val="0"/>
          <w:spacing w:val="-4"/>
          <w:sz w:val="28"/>
          <w:szCs w:val="28"/>
        </w:rPr>
        <w:t>万元，下降</w:t>
      </w:r>
      <w:r>
        <w:rPr>
          <w:rStyle w:val="16"/>
          <w:rFonts w:hint="eastAsia" w:ascii="仿宋_GB2312" w:hAnsi="楷体" w:eastAsia="仿宋_GB2312"/>
          <w:b w:val="0"/>
          <w:spacing w:val="-4"/>
          <w:sz w:val="28"/>
          <w:szCs w:val="28"/>
          <w:lang w:val="en-US" w:eastAsia="zh-CN"/>
        </w:rPr>
        <w:t>17.44</w:t>
      </w:r>
      <w:r>
        <w:rPr>
          <w:rStyle w:val="16"/>
          <w:rFonts w:hint="eastAsia" w:ascii="仿宋_GB2312" w:hAnsi="楷体" w:eastAsia="仿宋_GB2312"/>
          <w:b w:val="0"/>
          <w:spacing w:val="-4"/>
          <w:sz w:val="28"/>
          <w:szCs w:val="28"/>
        </w:rPr>
        <w:t>%。</w:t>
      </w:r>
    </w:p>
    <w:p>
      <w:pPr>
        <w:spacing w:line="360" w:lineRule="auto"/>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2021年实际决算支出</w:t>
      </w:r>
      <w:r>
        <w:rPr>
          <w:rStyle w:val="16"/>
          <w:rFonts w:hint="eastAsia" w:ascii="仿宋_GB2312" w:hAnsi="楷体" w:eastAsia="仿宋_GB2312"/>
          <w:b w:val="0"/>
          <w:color w:val="auto"/>
          <w:spacing w:val="-4"/>
          <w:sz w:val="28"/>
          <w:szCs w:val="28"/>
          <w:lang w:val="en-US" w:eastAsia="zh-CN"/>
        </w:rPr>
        <w:t>163.97</w:t>
      </w:r>
      <w:r>
        <w:rPr>
          <w:rStyle w:val="16"/>
          <w:rFonts w:hint="eastAsia" w:ascii="仿宋_GB2312" w:hAnsi="楷体" w:eastAsia="仿宋_GB2312"/>
          <w:b w:val="0"/>
          <w:color w:val="auto"/>
          <w:spacing w:val="-4"/>
          <w:sz w:val="28"/>
          <w:szCs w:val="28"/>
        </w:rPr>
        <w:t>万元，执行率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w:t>
      </w:r>
    </w:p>
    <w:p>
      <w:pPr>
        <w:numPr>
          <w:ilvl w:val="0"/>
          <w:numId w:val="1"/>
        </w:numPr>
        <w:spacing w:line="360" w:lineRule="auto"/>
        <w:ind w:firstLine="544" w:firstLineChars="200"/>
        <w:rPr>
          <w:rStyle w:val="16"/>
          <w:rFonts w:hint="eastAsia" w:ascii="仿宋_GB2312" w:hAnsi="楷体" w:eastAsia="仿宋_GB2312"/>
          <w:b w:val="0"/>
          <w:color w:val="auto"/>
          <w:spacing w:val="-4"/>
          <w:sz w:val="28"/>
          <w:szCs w:val="28"/>
          <w:lang w:val="en-US" w:eastAsia="zh-CN"/>
        </w:rPr>
      </w:pPr>
      <w:r>
        <w:rPr>
          <w:rStyle w:val="16"/>
          <w:rFonts w:hint="eastAsia" w:ascii="仿宋_GB2312" w:hAnsi="楷体" w:eastAsia="仿宋_GB2312"/>
          <w:b w:val="0"/>
          <w:color w:val="auto"/>
          <w:spacing w:val="-4"/>
          <w:sz w:val="28"/>
          <w:szCs w:val="28"/>
        </w:rPr>
        <w:t>基本支出</w:t>
      </w:r>
      <w:r>
        <w:rPr>
          <w:rStyle w:val="16"/>
          <w:rFonts w:hint="eastAsia" w:ascii="仿宋_GB2312" w:hAnsi="楷体" w:eastAsia="仿宋_GB2312"/>
          <w:b w:val="0"/>
          <w:color w:val="auto"/>
          <w:spacing w:val="-4"/>
          <w:sz w:val="28"/>
          <w:szCs w:val="28"/>
          <w:lang w:val="en-US" w:eastAsia="zh-CN"/>
        </w:rPr>
        <w:t>163.37</w:t>
      </w:r>
      <w:r>
        <w:rPr>
          <w:rStyle w:val="16"/>
          <w:rFonts w:hint="eastAsia" w:ascii="仿宋_GB2312" w:hAnsi="楷体" w:eastAsia="仿宋_GB2312"/>
          <w:b w:val="0"/>
          <w:color w:val="auto"/>
          <w:spacing w:val="-4"/>
          <w:sz w:val="28"/>
          <w:szCs w:val="28"/>
        </w:rPr>
        <w:t>万元，占总支出的</w:t>
      </w:r>
      <w:r>
        <w:rPr>
          <w:rStyle w:val="16"/>
          <w:rFonts w:hint="eastAsia" w:ascii="仿宋_GB2312" w:hAnsi="楷体" w:eastAsia="仿宋_GB2312"/>
          <w:b w:val="0"/>
          <w:color w:val="auto"/>
          <w:spacing w:val="-4"/>
          <w:sz w:val="28"/>
          <w:szCs w:val="28"/>
          <w:lang w:val="en-US" w:eastAsia="zh-CN"/>
        </w:rPr>
        <w:t>99.63</w:t>
      </w:r>
      <w:r>
        <w:rPr>
          <w:rStyle w:val="16"/>
          <w:rFonts w:hint="eastAsia" w:ascii="仿宋_GB2312" w:hAnsi="楷体" w:eastAsia="仿宋_GB2312"/>
          <w:b w:val="0"/>
          <w:color w:val="auto"/>
          <w:spacing w:val="-4"/>
          <w:sz w:val="28"/>
          <w:szCs w:val="28"/>
        </w:rPr>
        <w:t>％，主要用于本部门机构正常运转、完成日常工作任务而发生的各项支出。其中：工资福利支出</w:t>
      </w:r>
      <w:r>
        <w:rPr>
          <w:rStyle w:val="16"/>
          <w:rFonts w:hint="eastAsia" w:ascii="仿宋_GB2312" w:hAnsi="楷体" w:eastAsia="仿宋_GB2312"/>
          <w:b w:val="0"/>
          <w:color w:val="auto"/>
          <w:spacing w:val="-4"/>
          <w:sz w:val="28"/>
          <w:szCs w:val="28"/>
          <w:lang w:val="en-US" w:eastAsia="zh-CN"/>
        </w:rPr>
        <w:t>146.15</w:t>
      </w:r>
      <w:r>
        <w:rPr>
          <w:rStyle w:val="16"/>
          <w:rFonts w:hint="eastAsia" w:ascii="仿宋_GB2312" w:hAnsi="楷体" w:eastAsia="仿宋_GB2312"/>
          <w:b w:val="0"/>
          <w:color w:val="auto"/>
          <w:spacing w:val="-4"/>
          <w:sz w:val="28"/>
          <w:szCs w:val="28"/>
        </w:rPr>
        <w:t>万元，主要用于在职和离退休人员基本工资、津贴补贴等人员经费。商品和服务支出</w:t>
      </w:r>
      <w:r>
        <w:rPr>
          <w:rStyle w:val="16"/>
          <w:rFonts w:hint="eastAsia" w:ascii="仿宋_GB2312" w:hAnsi="楷体" w:eastAsia="仿宋_GB2312"/>
          <w:b w:val="0"/>
          <w:color w:val="auto"/>
          <w:spacing w:val="-4"/>
          <w:sz w:val="28"/>
          <w:szCs w:val="28"/>
          <w:lang w:val="en-US" w:eastAsia="zh-CN"/>
        </w:rPr>
        <w:t>15.27</w:t>
      </w:r>
      <w:r>
        <w:rPr>
          <w:rStyle w:val="16"/>
          <w:rFonts w:hint="eastAsia" w:ascii="仿宋_GB2312" w:hAnsi="楷体" w:eastAsia="仿宋_GB2312"/>
          <w:b w:val="0"/>
          <w:color w:val="auto"/>
          <w:spacing w:val="-4"/>
          <w:sz w:val="28"/>
          <w:szCs w:val="28"/>
        </w:rPr>
        <w:t>万元，主要用于办公费、印刷费、水电费、办公设备购置等。对个人和家庭的补助</w:t>
      </w:r>
      <w:r>
        <w:rPr>
          <w:rStyle w:val="16"/>
          <w:rFonts w:hint="eastAsia" w:ascii="仿宋_GB2312" w:hAnsi="楷体" w:eastAsia="仿宋_GB2312"/>
          <w:b w:val="0"/>
          <w:color w:val="auto"/>
          <w:spacing w:val="-4"/>
          <w:sz w:val="28"/>
          <w:szCs w:val="28"/>
          <w:lang w:val="en-US" w:eastAsia="zh-CN"/>
        </w:rPr>
        <w:t>1.95</w:t>
      </w:r>
      <w:r>
        <w:rPr>
          <w:rStyle w:val="16"/>
          <w:rFonts w:hint="eastAsia" w:ascii="仿宋_GB2312" w:hAnsi="楷体" w:eastAsia="仿宋_GB2312"/>
          <w:b w:val="0"/>
          <w:color w:val="auto"/>
          <w:spacing w:val="-4"/>
          <w:sz w:val="28"/>
          <w:szCs w:val="28"/>
        </w:rPr>
        <w:t>万元，主要用于</w:t>
      </w:r>
      <w:r>
        <w:rPr>
          <w:rStyle w:val="16"/>
          <w:rFonts w:hint="eastAsia" w:ascii="仿宋_GB2312" w:hAnsi="楷体" w:eastAsia="仿宋_GB2312"/>
          <w:b w:val="0"/>
          <w:color w:val="auto"/>
          <w:spacing w:val="-4"/>
          <w:sz w:val="28"/>
          <w:szCs w:val="28"/>
          <w:lang w:val="en-US" w:eastAsia="zh-CN"/>
        </w:rPr>
        <w:t>退休人员经费</w:t>
      </w:r>
      <w:r>
        <w:rPr>
          <w:rStyle w:val="16"/>
          <w:rFonts w:hint="eastAsia" w:ascii="仿宋_GB2312" w:hAnsi="楷体" w:eastAsia="仿宋_GB2312"/>
          <w:b w:val="0"/>
          <w:color w:val="auto"/>
          <w:spacing w:val="-4"/>
          <w:sz w:val="28"/>
          <w:szCs w:val="28"/>
        </w:rPr>
        <w:t>。资本性支出</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万元，主要用于</w:t>
      </w:r>
      <w:r>
        <w:rPr>
          <w:rStyle w:val="16"/>
          <w:rFonts w:hint="eastAsia" w:ascii="仿宋_GB2312" w:hAnsi="楷体" w:eastAsia="仿宋_GB2312"/>
          <w:b w:val="0"/>
          <w:color w:val="auto"/>
          <w:spacing w:val="-4"/>
          <w:sz w:val="28"/>
          <w:szCs w:val="28"/>
          <w:lang w:eastAsia="zh-CN"/>
        </w:rPr>
        <w:t>：</w:t>
      </w:r>
      <w:r>
        <w:rPr>
          <w:rStyle w:val="16"/>
          <w:rFonts w:hint="eastAsia" w:ascii="仿宋_GB2312" w:hAnsi="楷体" w:eastAsia="仿宋_GB2312"/>
          <w:b w:val="0"/>
          <w:color w:val="auto"/>
          <w:spacing w:val="-4"/>
          <w:sz w:val="28"/>
          <w:szCs w:val="28"/>
          <w:lang w:val="en-US" w:eastAsia="zh-CN"/>
        </w:rPr>
        <w:t>无</w:t>
      </w:r>
    </w:p>
    <w:p>
      <w:pPr>
        <w:numPr>
          <w:ilvl w:val="0"/>
          <w:numId w:val="1"/>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bookmarkStart w:id="9" w:name="_Toc70450296"/>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0.60</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0.37</w:t>
      </w:r>
      <w:r>
        <w:rPr>
          <w:rStyle w:val="16"/>
          <w:rFonts w:hint="eastAsia" w:ascii="仿宋_GB2312" w:hAnsi="楷体" w:eastAsia="仿宋_GB2312"/>
          <w:b w:val="0"/>
          <w:spacing w:val="-4"/>
          <w:sz w:val="28"/>
          <w:szCs w:val="28"/>
          <w:highlight w:val="none"/>
        </w:rPr>
        <w:t>％。其中：</w:t>
      </w:r>
      <w:r>
        <w:rPr>
          <w:rStyle w:val="16"/>
          <w:rFonts w:hint="eastAsia" w:ascii="仿宋_GB2312" w:hAnsi="楷体" w:eastAsia="仿宋_GB2312"/>
          <w:b w:val="0"/>
          <w:spacing w:val="-4"/>
          <w:sz w:val="28"/>
          <w:szCs w:val="28"/>
          <w:highlight w:val="none"/>
          <w:lang w:val="en-US" w:eastAsia="zh-CN"/>
        </w:rPr>
        <w:t>基本公共卫生</w:t>
      </w:r>
      <w:r>
        <w:rPr>
          <w:rStyle w:val="16"/>
          <w:rFonts w:hint="eastAsia" w:ascii="仿宋_GB2312" w:hAnsi="楷体" w:eastAsia="仿宋_GB2312"/>
          <w:b w:val="0"/>
          <w:spacing w:val="-4"/>
          <w:sz w:val="28"/>
          <w:szCs w:val="28"/>
          <w:highlight w:val="none"/>
        </w:rPr>
        <w:t>项目安排</w:t>
      </w:r>
      <w:r>
        <w:rPr>
          <w:rStyle w:val="16"/>
          <w:rFonts w:hint="eastAsia" w:ascii="仿宋_GB2312" w:hAnsi="楷体" w:eastAsia="仿宋_GB2312"/>
          <w:b w:val="0"/>
          <w:spacing w:val="-4"/>
          <w:sz w:val="28"/>
          <w:szCs w:val="28"/>
          <w:highlight w:val="none"/>
          <w:lang w:val="en-US" w:eastAsia="zh-CN"/>
        </w:rPr>
        <w:t>0.60</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p>
    <w:p>
      <w:pPr>
        <w:numPr>
          <w:ilvl w:val="0"/>
          <w:numId w:val="1"/>
        </w:numPr>
        <w:spacing w:line="360" w:lineRule="auto"/>
        <w:ind w:left="0" w:leftChars="0"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本年度重点项目支出</w:t>
      </w:r>
      <w:r>
        <w:rPr>
          <w:rStyle w:val="16"/>
          <w:rFonts w:hint="eastAsia" w:ascii="仿宋_GB2312" w:hAnsi="楷体" w:eastAsia="仿宋_GB2312"/>
          <w:b w:val="0"/>
          <w:spacing w:val="-4"/>
          <w:sz w:val="28"/>
          <w:szCs w:val="28"/>
          <w:highlight w:val="none"/>
          <w:lang w:val="en-US" w:eastAsia="zh-CN"/>
        </w:rPr>
        <w:t>0</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万元，重点支出保障率</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%。其中重点保障项目是</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无</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color w:val="auto"/>
          <w:spacing w:val="-4"/>
          <w:sz w:val="32"/>
          <w:szCs w:val="32"/>
        </w:rPr>
      </w:pPr>
      <w:r>
        <w:rPr>
          <w:rStyle w:val="16"/>
          <w:rFonts w:hint="eastAsia" w:ascii="仿宋_GB2312" w:hAnsi="楷体" w:eastAsia="仿宋_GB2312"/>
          <w:b w:val="0"/>
          <w:color w:val="auto"/>
          <w:spacing w:val="-4"/>
          <w:sz w:val="28"/>
          <w:szCs w:val="28"/>
        </w:rPr>
        <w:t>（4）</w:t>
      </w:r>
      <w:r>
        <w:rPr>
          <w:rStyle w:val="16"/>
          <w:rFonts w:hint="eastAsia" w:ascii="仿宋_GB2312" w:hAnsi="楷体" w:eastAsia="仿宋_GB2312"/>
          <w:b w:val="0"/>
          <w:bCs w:val="0"/>
          <w:color w:val="auto"/>
          <w:spacing w:val="-4"/>
          <w:sz w:val="28"/>
          <w:szCs w:val="28"/>
        </w:rPr>
        <w:t>本年度我单位无政府采购预算</w:t>
      </w:r>
    </w:p>
    <w:p>
      <w:pPr>
        <w:numPr>
          <w:ilvl w:val="0"/>
          <w:numId w:val="0"/>
        </w:numPr>
        <w:spacing w:line="360" w:lineRule="auto"/>
        <w:ind w:leftChars="200"/>
        <w:rPr>
          <w:rStyle w:val="16"/>
          <w:rFonts w:hint="eastAsia" w:ascii="仿宋_GB2312" w:hAnsi="楷体" w:eastAsia="仿宋_GB2312"/>
          <w:b w:val="0"/>
          <w:spacing w:val="-4"/>
          <w:sz w:val="28"/>
          <w:szCs w:val="28"/>
          <w:highlight w:val="yellow"/>
        </w:rPr>
      </w:pPr>
    </w:p>
    <w:bookmarkEnd w:id="9"/>
    <w:p>
      <w:pPr>
        <w:pStyle w:val="5"/>
        <w:spacing w:line="360" w:lineRule="auto"/>
        <w:ind w:firstLine="562" w:firstLineChars="200"/>
        <w:rPr>
          <w:rStyle w:val="16"/>
          <w:rFonts w:ascii="仿宋" w:hAnsi="仿宋" w:eastAsia="仿宋"/>
          <w:b/>
          <w:bCs/>
        </w:rPr>
      </w:pPr>
      <w:r>
        <w:rPr>
          <w:rStyle w:val="16"/>
          <w:rFonts w:ascii="仿宋" w:hAnsi="仿宋" w:eastAsia="仿宋"/>
          <w:b/>
          <w:bCs/>
        </w:rPr>
        <w:t>2</w:t>
      </w:r>
      <w:r>
        <w:rPr>
          <w:rStyle w:val="16"/>
          <w:rFonts w:hint="eastAsia" w:ascii="仿宋" w:hAnsi="仿宋" w:eastAsia="仿宋"/>
          <w:b/>
          <w:bCs/>
        </w:rPr>
        <w:t>、整体支出评价使用方法和主要内容、涉及对象及范围等</w:t>
      </w:r>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60" w:firstLineChars="200"/>
        <w:rPr>
          <w:rFonts w:hint="eastAsia" w:ascii="仿宋_GB2312" w:eastAsia="仿宋_GB2312"/>
          <w:sz w:val="28"/>
          <w:szCs w:val="36"/>
          <w:lang w:eastAsia="zh-CN"/>
        </w:rPr>
      </w:pPr>
      <w:r>
        <w:rPr>
          <w:rFonts w:hint="eastAsia" w:ascii="仿宋_GB2312" w:eastAsia="仿宋_GB2312"/>
          <w:sz w:val="28"/>
          <w:szCs w:val="36"/>
        </w:rPr>
        <w:t>本单位整体支出绩效自评采用综合指数评价法方法，原因是：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r>
        <w:rPr>
          <w:rFonts w:hint="eastAsia" w:ascii="仿宋_GB2312" w:eastAsia="仿宋_GB2312"/>
          <w:sz w:val="28"/>
          <w:szCs w:val="36"/>
          <w:lang w:eastAsia="zh-CN"/>
        </w:rPr>
        <w:t>。</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highlight w:val="none"/>
        </w:rPr>
      </w:pPr>
      <w:r>
        <w:rPr>
          <w:rStyle w:val="16"/>
          <w:rFonts w:hint="eastAsia" w:ascii="仿宋_GB2312" w:eastAsia="仿宋_GB2312"/>
          <w:b w:val="0"/>
          <w:bCs w:val="0"/>
          <w:sz w:val="28"/>
          <w:szCs w:val="36"/>
        </w:rPr>
        <w:t>涉及对象</w:t>
      </w:r>
      <w:r>
        <w:rPr>
          <w:rStyle w:val="16"/>
          <w:rFonts w:hint="eastAsia" w:ascii="仿宋_GB2312" w:eastAsia="仿宋_GB2312"/>
          <w:b w:val="0"/>
          <w:bCs w:val="0"/>
          <w:sz w:val="28"/>
          <w:szCs w:val="36"/>
          <w:highlight w:val="none"/>
        </w:rPr>
        <w:t>：</w:t>
      </w:r>
      <w:r>
        <w:rPr>
          <w:rFonts w:hint="eastAsia" w:ascii="仿宋_GB2312" w:eastAsia="仿宋_GB2312"/>
          <w:sz w:val="28"/>
          <w:szCs w:val="36"/>
          <w:highlight w:val="none"/>
        </w:rPr>
        <w:t>本次评价对象是</w:t>
      </w:r>
      <w:r>
        <w:rPr>
          <w:rFonts w:hint="eastAsia" w:ascii="仿宋_GB2312" w:eastAsia="仿宋_GB2312"/>
          <w:sz w:val="28"/>
          <w:szCs w:val="36"/>
          <w:highlight w:val="none"/>
          <w:lang w:eastAsia="zh-CN"/>
        </w:rPr>
        <w:t>特克斯</w:t>
      </w:r>
      <w:r>
        <w:rPr>
          <w:rFonts w:hint="eastAsia" w:ascii="仿宋_GB2312" w:eastAsia="仿宋_GB2312"/>
          <w:sz w:val="28"/>
          <w:szCs w:val="36"/>
          <w:highlight w:val="none"/>
          <w:lang w:val="en-US" w:eastAsia="zh-CN"/>
        </w:rPr>
        <w:t>卫生计生综合监督执法局所</w:t>
      </w:r>
      <w:r>
        <w:rPr>
          <w:rFonts w:hint="eastAsia" w:ascii="仿宋_GB2312" w:eastAsia="仿宋_GB2312"/>
          <w:sz w:val="28"/>
          <w:szCs w:val="36"/>
          <w:highlight w:val="none"/>
        </w:rPr>
        <w:t>有财政资金支出活动。</w:t>
      </w:r>
    </w:p>
    <w:p>
      <w:pPr>
        <w:spacing w:line="360" w:lineRule="auto"/>
        <w:ind w:firstLine="560" w:firstLineChars="200"/>
        <w:rPr>
          <w:rStyle w:val="16"/>
          <w:rFonts w:ascii="仿宋_GB2312" w:eastAsia="仿宋_GB2312"/>
          <w:b w:val="0"/>
          <w:bCs w:val="0"/>
          <w:color w:val="auto"/>
          <w:sz w:val="28"/>
          <w:szCs w:val="36"/>
        </w:rPr>
      </w:pPr>
      <w:r>
        <w:rPr>
          <w:rStyle w:val="16"/>
          <w:rFonts w:hint="eastAsia" w:ascii="仿宋_GB2312" w:eastAsia="仿宋_GB2312"/>
          <w:b w:val="0"/>
          <w:bCs w:val="0"/>
          <w:color w:val="auto"/>
          <w:sz w:val="28"/>
          <w:szCs w:val="36"/>
        </w:rPr>
        <w:t>整体支出评价范围：</w:t>
      </w:r>
    </w:p>
    <w:p>
      <w:pPr>
        <w:spacing w:line="360" w:lineRule="auto"/>
        <w:ind w:firstLine="544" w:firstLineChars="200"/>
        <w:rPr>
          <w:rStyle w:val="16"/>
          <w:rFonts w:ascii="仿宋_GB2312" w:hAnsi="楷体" w:eastAsia="仿宋_GB2312"/>
          <w:b w:val="0"/>
          <w:color w:val="auto"/>
          <w:spacing w:val="-4"/>
          <w:sz w:val="28"/>
          <w:szCs w:val="28"/>
        </w:rPr>
      </w:pPr>
      <w:r>
        <w:rPr>
          <w:rStyle w:val="16"/>
          <w:rFonts w:ascii="仿宋_GB2312" w:hAnsi="楷体" w:eastAsia="仿宋_GB2312"/>
          <w:b w:val="0"/>
          <w:color w:val="auto"/>
          <w:spacing w:val="-4"/>
          <w:sz w:val="28"/>
          <w:szCs w:val="28"/>
        </w:rPr>
        <w:fldChar w:fldCharType="begin"/>
      </w:r>
      <w:r>
        <w:rPr>
          <w:rStyle w:val="16"/>
          <w:rFonts w:ascii="仿宋_GB2312" w:hAnsi="楷体" w:eastAsia="仿宋_GB2312"/>
          <w:b w:val="0"/>
          <w:color w:val="auto"/>
          <w:spacing w:val="-4"/>
          <w:sz w:val="28"/>
          <w:szCs w:val="28"/>
        </w:rPr>
        <w:instrText xml:space="preserve"> </w:instrText>
      </w:r>
      <w:r>
        <w:rPr>
          <w:rStyle w:val="16"/>
          <w:rFonts w:hint="eastAsia" w:ascii="仿宋_GB2312" w:hAnsi="楷体" w:eastAsia="仿宋_GB2312"/>
          <w:b w:val="0"/>
          <w:color w:val="auto"/>
          <w:spacing w:val="-4"/>
          <w:sz w:val="28"/>
          <w:szCs w:val="28"/>
        </w:rPr>
        <w:instrText xml:space="preserve">= 1 \* GB3</w:instrText>
      </w:r>
      <w:r>
        <w:rPr>
          <w:rStyle w:val="16"/>
          <w:rFonts w:ascii="仿宋_GB2312" w:hAnsi="楷体" w:eastAsia="仿宋_GB2312"/>
          <w:b w:val="0"/>
          <w:color w:val="auto"/>
          <w:spacing w:val="-4"/>
          <w:sz w:val="28"/>
          <w:szCs w:val="28"/>
        </w:rPr>
        <w:instrText xml:space="preserve"> </w:instrText>
      </w:r>
      <w:r>
        <w:rPr>
          <w:rStyle w:val="16"/>
          <w:rFonts w:ascii="仿宋_GB2312" w:hAnsi="楷体" w:eastAsia="仿宋_GB2312"/>
          <w:b w:val="0"/>
          <w:color w:val="auto"/>
          <w:spacing w:val="-4"/>
          <w:sz w:val="28"/>
          <w:szCs w:val="28"/>
        </w:rPr>
        <w:fldChar w:fldCharType="separate"/>
      </w:r>
      <w:r>
        <w:rPr>
          <w:rStyle w:val="16"/>
          <w:rFonts w:hint="eastAsia" w:ascii="仿宋_GB2312" w:hAnsi="楷体" w:eastAsia="仿宋_GB2312"/>
          <w:b w:val="0"/>
          <w:color w:val="auto"/>
          <w:spacing w:val="-4"/>
          <w:sz w:val="28"/>
          <w:szCs w:val="28"/>
        </w:rPr>
        <w:t>①</w:t>
      </w:r>
      <w:r>
        <w:rPr>
          <w:rStyle w:val="16"/>
          <w:rFonts w:ascii="仿宋_GB2312" w:hAnsi="楷体" w:eastAsia="仿宋_GB2312"/>
          <w:b w:val="0"/>
          <w:color w:val="auto"/>
          <w:spacing w:val="-4"/>
          <w:sz w:val="28"/>
          <w:szCs w:val="28"/>
        </w:rPr>
        <w:fldChar w:fldCharType="end"/>
      </w:r>
      <w:r>
        <w:rPr>
          <w:rStyle w:val="16"/>
          <w:rFonts w:hint="eastAsia" w:ascii="仿宋_GB2312" w:hAnsi="楷体" w:eastAsia="仿宋_GB2312"/>
          <w:b w:val="0"/>
          <w:color w:val="auto"/>
          <w:spacing w:val="-4"/>
          <w:sz w:val="28"/>
          <w:szCs w:val="28"/>
        </w:rPr>
        <w:t>基本支出</w:t>
      </w:r>
      <w:r>
        <w:rPr>
          <w:rStyle w:val="16"/>
          <w:rFonts w:hint="eastAsia" w:ascii="仿宋_GB2312" w:hAnsi="楷体" w:eastAsia="仿宋_GB2312"/>
          <w:b w:val="0"/>
          <w:color w:val="auto"/>
          <w:spacing w:val="-4"/>
          <w:sz w:val="28"/>
          <w:szCs w:val="28"/>
          <w:lang w:val="en-US" w:eastAsia="zh-CN"/>
        </w:rPr>
        <w:t>163.37</w:t>
      </w:r>
      <w:r>
        <w:rPr>
          <w:rStyle w:val="16"/>
          <w:rFonts w:hint="eastAsia" w:ascii="仿宋_GB2312" w:hAnsi="楷体" w:eastAsia="仿宋_GB2312"/>
          <w:b w:val="0"/>
          <w:color w:val="auto"/>
          <w:spacing w:val="-4"/>
          <w:sz w:val="28"/>
          <w:szCs w:val="28"/>
        </w:rPr>
        <w:t>万元，其中：工资福利支出、商品和服务支出、对个人和家庭的补助支出。</w:t>
      </w:r>
    </w:p>
    <w:p>
      <w:pPr>
        <w:spacing w:line="360" w:lineRule="auto"/>
        <w:ind w:firstLine="492" w:firstLineChars="181"/>
        <w:rPr>
          <w:rStyle w:val="16"/>
          <w:rFonts w:hint="default" w:ascii="仿宋_GB2312" w:hAnsi="楷体" w:eastAsia="仿宋_GB2312"/>
          <w:b w:val="0"/>
          <w:color w:val="auto"/>
          <w:spacing w:val="-4"/>
          <w:sz w:val="28"/>
          <w:szCs w:val="28"/>
          <w:highlight w:val="none"/>
          <w:lang w:val="en-US" w:eastAsia="zh-CN"/>
        </w:rPr>
      </w:pPr>
      <w:r>
        <w:rPr>
          <w:rStyle w:val="16"/>
          <w:rFonts w:ascii="仿宋_GB2312" w:hAnsi="楷体" w:eastAsia="仿宋_GB2312"/>
          <w:b w:val="0"/>
          <w:color w:val="auto"/>
          <w:spacing w:val="-4"/>
          <w:sz w:val="28"/>
          <w:szCs w:val="28"/>
        </w:rPr>
        <w:fldChar w:fldCharType="begin"/>
      </w:r>
      <w:r>
        <w:rPr>
          <w:rStyle w:val="16"/>
          <w:rFonts w:ascii="仿宋_GB2312" w:hAnsi="楷体" w:eastAsia="仿宋_GB2312"/>
          <w:b w:val="0"/>
          <w:color w:val="auto"/>
          <w:spacing w:val="-4"/>
          <w:sz w:val="28"/>
          <w:szCs w:val="28"/>
        </w:rPr>
        <w:instrText xml:space="preserve"> </w:instrText>
      </w:r>
      <w:r>
        <w:rPr>
          <w:rStyle w:val="16"/>
          <w:rFonts w:hint="eastAsia" w:ascii="仿宋_GB2312" w:hAnsi="楷体" w:eastAsia="仿宋_GB2312"/>
          <w:b w:val="0"/>
          <w:color w:val="auto"/>
          <w:spacing w:val="-4"/>
          <w:sz w:val="28"/>
          <w:szCs w:val="28"/>
        </w:rPr>
        <w:instrText xml:space="preserve">= 2 \* GB3</w:instrText>
      </w:r>
      <w:r>
        <w:rPr>
          <w:rStyle w:val="16"/>
          <w:rFonts w:ascii="仿宋_GB2312" w:hAnsi="楷体" w:eastAsia="仿宋_GB2312"/>
          <w:b w:val="0"/>
          <w:color w:val="auto"/>
          <w:spacing w:val="-4"/>
          <w:sz w:val="28"/>
          <w:szCs w:val="28"/>
        </w:rPr>
        <w:instrText xml:space="preserve"> </w:instrText>
      </w:r>
      <w:r>
        <w:rPr>
          <w:rStyle w:val="16"/>
          <w:rFonts w:ascii="仿宋_GB2312" w:hAnsi="楷体" w:eastAsia="仿宋_GB2312"/>
          <w:b w:val="0"/>
          <w:color w:val="auto"/>
          <w:spacing w:val="-4"/>
          <w:sz w:val="28"/>
          <w:szCs w:val="28"/>
        </w:rPr>
        <w:fldChar w:fldCharType="separate"/>
      </w:r>
      <w:r>
        <w:rPr>
          <w:rStyle w:val="16"/>
          <w:rFonts w:hint="eastAsia" w:ascii="仿宋_GB2312" w:hAnsi="楷体" w:eastAsia="仿宋_GB2312"/>
          <w:b w:val="0"/>
          <w:color w:val="auto"/>
          <w:spacing w:val="-4"/>
          <w:sz w:val="28"/>
          <w:szCs w:val="28"/>
        </w:rPr>
        <w:t>②</w:t>
      </w:r>
      <w:r>
        <w:rPr>
          <w:rStyle w:val="16"/>
          <w:rFonts w:ascii="仿宋_GB2312" w:hAnsi="楷体" w:eastAsia="仿宋_GB2312"/>
          <w:b w:val="0"/>
          <w:color w:val="auto"/>
          <w:spacing w:val="-4"/>
          <w:sz w:val="28"/>
          <w:szCs w:val="28"/>
        </w:rPr>
        <w:fldChar w:fldCharType="end"/>
      </w:r>
      <w:r>
        <w:rPr>
          <w:rStyle w:val="16"/>
          <w:rFonts w:hint="eastAsia" w:ascii="仿宋_GB2312" w:hAnsi="楷体" w:eastAsia="仿宋_GB2312"/>
          <w:b w:val="0"/>
          <w:color w:val="auto"/>
          <w:spacing w:val="-4"/>
          <w:sz w:val="28"/>
          <w:szCs w:val="28"/>
        </w:rPr>
        <w:t>项目支出</w:t>
      </w:r>
      <w:r>
        <w:rPr>
          <w:rStyle w:val="16"/>
          <w:rFonts w:hint="eastAsia" w:ascii="仿宋_GB2312" w:hAnsi="楷体" w:eastAsia="仿宋_GB2312"/>
          <w:b w:val="0"/>
          <w:color w:val="auto"/>
          <w:spacing w:val="-4"/>
          <w:sz w:val="28"/>
          <w:szCs w:val="28"/>
          <w:lang w:val="en-US" w:eastAsia="zh-CN"/>
        </w:rPr>
        <w:t>0.6</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eastAsia="zh-CN"/>
        </w:rPr>
        <w:t>，</w:t>
      </w:r>
      <w:r>
        <w:rPr>
          <w:rStyle w:val="16"/>
          <w:rFonts w:hint="eastAsia" w:ascii="仿宋_GB2312" w:hAnsi="楷体" w:eastAsia="仿宋_GB2312"/>
          <w:b w:val="0"/>
          <w:spacing w:val="-4"/>
          <w:sz w:val="28"/>
          <w:szCs w:val="28"/>
          <w:highlight w:val="none"/>
        </w:rPr>
        <w:t>其中：</w:t>
      </w:r>
      <w:r>
        <w:rPr>
          <w:rStyle w:val="16"/>
          <w:rFonts w:hint="eastAsia" w:ascii="仿宋_GB2312" w:hAnsi="楷体" w:eastAsia="仿宋_GB2312"/>
          <w:b w:val="0"/>
          <w:spacing w:val="-4"/>
          <w:sz w:val="28"/>
          <w:szCs w:val="28"/>
          <w:highlight w:val="none"/>
          <w:lang w:val="en-US" w:eastAsia="zh-CN"/>
        </w:rPr>
        <w:t>公共卫生</w:t>
      </w:r>
      <w:r>
        <w:rPr>
          <w:rStyle w:val="16"/>
          <w:rFonts w:hint="eastAsia" w:ascii="仿宋_GB2312" w:hAnsi="楷体" w:eastAsia="仿宋_GB2312"/>
          <w:b w:val="0"/>
          <w:spacing w:val="-4"/>
          <w:sz w:val="28"/>
          <w:szCs w:val="28"/>
          <w:highlight w:val="none"/>
        </w:rPr>
        <w:t>项目</w:t>
      </w:r>
      <w:r>
        <w:rPr>
          <w:rStyle w:val="16"/>
          <w:rFonts w:hint="eastAsia" w:ascii="仿宋_GB2312" w:hAnsi="楷体" w:eastAsia="仿宋_GB2312"/>
          <w:b w:val="0"/>
          <w:spacing w:val="-4"/>
          <w:sz w:val="28"/>
          <w:szCs w:val="28"/>
          <w:highlight w:val="none"/>
          <w:lang w:val="en-US" w:eastAsia="zh-CN"/>
        </w:rPr>
        <w:t>0.16</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color w:val="auto"/>
          <w:spacing w:val="-4"/>
          <w:sz w:val="28"/>
          <w:szCs w:val="28"/>
          <w:highlight w:val="none"/>
          <w:lang w:val="en-US" w:eastAsia="zh-CN"/>
        </w:rPr>
        <w:t>。</w:t>
      </w:r>
    </w:p>
    <w:p>
      <w:pPr>
        <w:spacing w:line="360" w:lineRule="auto"/>
        <w:ind w:firstLine="544" w:firstLineChars="200"/>
        <w:rPr>
          <w:rStyle w:val="16"/>
          <w:rFonts w:ascii="仿宋_GB2312" w:hAnsi="楷体" w:eastAsia="仿宋_GB2312"/>
          <w:b w:val="0"/>
          <w:color w:val="auto"/>
          <w:spacing w:val="-4"/>
          <w:sz w:val="28"/>
          <w:szCs w:val="28"/>
        </w:rPr>
      </w:pPr>
    </w:p>
    <w:p>
      <w:pPr>
        <w:pStyle w:val="3"/>
        <w:spacing w:line="360" w:lineRule="auto"/>
        <w:rPr>
          <w:rFonts w:ascii="仿宋" w:hAnsi="仿宋" w:eastAsia="仿宋"/>
          <w:color w:val="auto"/>
          <w:sz w:val="36"/>
          <w:szCs w:val="36"/>
          <w:lang w:bidi="ar"/>
        </w:rPr>
      </w:pPr>
      <w:bookmarkStart w:id="10" w:name="_Toc70450297"/>
      <w:r>
        <w:rPr>
          <w:rFonts w:hint="eastAsia" w:ascii="仿宋" w:hAnsi="仿宋" w:eastAsia="仿宋"/>
          <w:color w:val="auto"/>
          <w:sz w:val="36"/>
          <w:szCs w:val="36"/>
          <w:lang w:bidi="ar"/>
        </w:rPr>
        <w:t>二、部门单位整体支出管理及使用情况</w:t>
      </w:r>
      <w:bookmarkEnd w:id="10"/>
    </w:p>
    <w:p>
      <w:pPr>
        <w:pStyle w:val="4"/>
        <w:spacing w:line="360" w:lineRule="auto"/>
        <w:rPr>
          <w:rStyle w:val="16"/>
          <w:rFonts w:ascii="仿宋" w:hAnsi="仿宋" w:eastAsia="仿宋"/>
          <w:b/>
          <w:bCs/>
          <w:color w:val="auto"/>
        </w:rPr>
      </w:pPr>
      <w:bookmarkStart w:id="11" w:name="_Toc70450298"/>
      <w:r>
        <w:rPr>
          <w:rStyle w:val="16"/>
          <w:rFonts w:hint="eastAsia" w:ascii="仿宋" w:hAnsi="仿宋" w:eastAsia="仿宋"/>
          <w:b/>
          <w:bCs/>
          <w:color w:val="auto"/>
        </w:rPr>
        <w:t>（一）预算管理</w:t>
      </w:r>
      <w:bookmarkEnd w:id="11"/>
    </w:p>
    <w:p>
      <w:pPr>
        <w:pStyle w:val="5"/>
        <w:spacing w:line="360" w:lineRule="auto"/>
        <w:ind w:firstLine="562" w:firstLineChars="200"/>
        <w:rPr>
          <w:rStyle w:val="16"/>
          <w:rFonts w:ascii="仿宋" w:hAnsi="仿宋" w:eastAsia="仿宋"/>
          <w:b/>
          <w:bCs/>
          <w:color w:val="auto"/>
        </w:rPr>
      </w:pPr>
      <w:bookmarkStart w:id="12" w:name="_Toc70450299"/>
      <w:r>
        <w:rPr>
          <w:rStyle w:val="16"/>
          <w:rFonts w:ascii="仿宋" w:hAnsi="仿宋" w:eastAsia="仿宋"/>
          <w:b/>
          <w:bCs/>
          <w:color w:val="auto"/>
        </w:rPr>
        <w:t>1</w:t>
      </w:r>
      <w:r>
        <w:rPr>
          <w:rStyle w:val="16"/>
          <w:rFonts w:hint="eastAsia" w:ascii="仿宋" w:hAnsi="仿宋" w:eastAsia="仿宋"/>
          <w:b/>
          <w:bCs/>
          <w:color w:val="auto"/>
        </w:rPr>
        <w:t>、预算编制管理</w:t>
      </w:r>
      <w:bookmarkEnd w:id="12"/>
    </w:p>
    <w:p>
      <w:pPr>
        <w:spacing w:line="360" w:lineRule="auto"/>
        <w:ind w:firstLine="506" w:firstLineChars="181"/>
        <w:rPr>
          <w:rStyle w:val="16"/>
          <w:rFonts w:hint="eastAsia" w:eastAsia="仿宋_GB2312" w:asciiTheme="minorEastAsia" w:hAnsiTheme="minorEastAsia"/>
          <w:color w:val="auto"/>
          <w:spacing w:val="-4"/>
          <w:sz w:val="28"/>
          <w:szCs w:val="28"/>
          <w:lang w:eastAsia="zh-CN"/>
        </w:rPr>
      </w:pPr>
      <w:r>
        <w:rPr>
          <w:rFonts w:hint="eastAsia" w:ascii="仿宋_GB2312" w:eastAsia="仿宋_GB2312"/>
          <w:color w:val="auto"/>
          <w:sz w:val="28"/>
          <w:szCs w:val="36"/>
        </w:rPr>
        <w:t>我</w:t>
      </w:r>
      <w:r>
        <w:rPr>
          <w:rStyle w:val="16"/>
          <w:rFonts w:hint="eastAsia" w:ascii="仿宋_GB2312" w:hAnsi="楷体" w:eastAsia="仿宋_GB2312"/>
          <w:b w:val="0"/>
          <w:color w:val="auto"/>
          <w:spacing w:val="-4"/>
          <w:sz w:val="28"/>
          <w:szCs w:val="28"/>
        </w:rPr>
        <w:t>单位</w:t>
      </w:r>
      <w:r>
        <w:rPr>
          <w:rFonts w:hint="eastAsia" w:ascii="仿宋_GB2312" w:eastAsia="仿宋_GB2312"/>
          <w:color w:val="auto"/>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color w:val="auto"/>
          <w:sz w:val="28"/>
          <w:szCs w:val="36"/>
          <w:lang w:val="en-US" w:eastAsia="zh-CN"/>
        </w:rPr>
        <w:t>财政局</w:t>
      </w:r>
      <w:r>
        <w:rPr>
          <w:rFonts w:hint="eastAsia" w:ascii="仿宋_GB2312" w:eastAsia="仿宋_GB2312"/>
          <w:color w:val="auto"/>
          <w:sz w:val="28"/>
          <w:szCs w:val="36"/>
        </w:rPr>
        <w:t>要求，部门预算及绩效目标在</w:t>
      </w:r>
      <w:r>
        <w:rPr>
          <w:rFonts w:hint="eastAsia" w:ascii="仿宋_GB2312" w:eastAsia="仿宋_GB2312"/>
          <w:color w:val="auto"/>
          <w:sz w:val="28"/>
          <w:szCs w:val="36"/>
          <w:lang w:val="en-US" w:eastAsia="zh-CN"/>
        </w:rPr>
        <w:t>特克斯县政务公开网</w:t>
      </w:r>
      <w:r>
        <w:rPr>
          <w:rFonts w:hint="eastAsia" w:ascii="仿宋_GB2312" w:eastAsia="仿宋_GB2312"/>
          <w:color w:val="auto"/>
          <w:sz w:val="28"/>
          <w:szCs w:val="36"/>
        </w:rPr>
        <w:t>公开，</w:t>
      </w:r>
      <w:r>
        <w:rPr>
          <w:rFonts w:ascii="仿宋_GB2312" w:eastAsia="仿宋_GB2312"/>
          <w:color w:val="auto"/>
          <w:sz w:val="28"/>
          <w:szCs w:val="36"/>
          <w:lang w:val="zh-CN"/>
        </w:rPr>
        <w:t>广泛接受社会监督</w:t>
      </w:r>
      <w:r>
        <w:rPr>
          <w:rStyle w:val="16"/>
          <w:rFonts w:hint="eastAsia" w:eastAsia="仿宋_GB2312" w:asciiTheme="minorEastAsia" w:hAnsiTheme="minorEastAsia"/>
          <w:color w:val="auto"/>
          <w:spacing w:val="-4"/>
          <w:sz w:val="28"/>
          <w:szCs w:val="28"/>
          <w:lang w:eastAsia="zh-CN"/>
        </w:rPr>
        <w:t>。</w:t>
      </w:r>
    </w:p>
    <w:p>
      <w:pPr>
        <w:pStyle w:val="5"/>
        <w:spacing w:line="360" w:lineRule="auto"/>
        <w:ind w:firstLine="562" w:firstLineChars="200"/>
        <w:rPr>
          <w:rStyle w:val="16"/>
          <w:rFonts w:ascii="仿宋" w:hAnsi="仿宋" w:eastAsia="仿宋"/>
          <w:b/>
          <w:bCs/>
          <w:color w:val="auto"/>
        </w:rPr>
      </w:pPr>
      <w:bookmarkStart w:id="13" w:name="_Toc70450300"/>
      <w:r>
        <w:rPr>
          <w:rStyle w:val="16"/>
          <w:rFonts w:hint="eastAsia" w:ascii="仿宋" w:hAnsi="仿宋" w:eastAsia="仿宋"/>
          <w:b/>
          <w:bCs/>
          <w:color w:val="auto"/>
        </w:rPr>
        <w:t>2</w:t>
      </w:r>
      <w:r>
        <w:rPr>
          <w:rStyle w:val="16"/>
          <w:rFonts w:ascii="仿宋" w:hAnsi="仿宋" w:eastAsia="仿宋"/>
          <w:b/>
          <w:bCs/>
          <w:color w:val="auto"/>
        </w:rPr>
        <w:t>、预算</w:t>
      </w:r>
      <w:r>
        <w:rPr>
          <w:rStyle w:val="16"/>
          <w:rFonts w:hint="eastAsia" w:ascii="仿宋" w:hAnsi="仿宋" w:eastAsia="仿宋"/>
          <w:b/>
          <w:bCs/>
          <w:color w:val="auto"/>
        </w:rPr>
        <w:t>支出</w:t>
      </w:r>
      <w:r>
        <w:rPr>
          <w:rStyle w:val="16"/>
          <w:rFonts w:ascii="仿宋" w:hAnsi="仿宋" w:eastAsia="仿宋"/>
          <w:b/>
          <w:bCs/>
          <w:color w:val="auto"/>
        </w:rPr>
        <w:t>管理</w:t>
      </w:r>
      <w:bookmarkEnd w:id="13"/>
    </w:p>
    <w:p>
      <w:pPr>
        <w:spacing w:line="360" w:lineRule="auto"/>
        <w:ind w:firstLine="560" w:firstLineChars="200"/>
        <w:rPr>
          <w:rStyle w:val="16"/>
          <w:b w:val="0"/>
          <w:bCs w:val="0"/>
          <w:color w:val="auto"/>
        </w:rPr>
      </w:pPr>
      <w:r>
        <w:rPr>
          <w:rFonts w:hint="eastAsia" w:ascii="仿宋_GB2312" w:eastAsia="仿宋_GB2312"/>
          <w:color w:val="auto"/>
          <w:sz w:val="28"/>
          <w:szCs w:val="36"/>
        </w:rPr>
        <w:t>我</w:t>
      </w:r>
      <w:r>
        <w:rPr>
          <w:rStyle w:val="16"/>
          <w:rFonts w:hint="eastAsia" w:ascii="仿宋_GB2312" w:hAnsi="楷体" w:eastAsia="仿宋_GB2312"/>
          <w:b w:val="0"/>
          <w:color w:val="auto"/>
          <w:spacing w:val="-4"/>
          <w:sz w:val="28"/>
          <w:szCs w:val="28"/>
        </w:rPr>
        <w:t>部门单位</w:t>
      </w:r>
      <w:r>
        <w:rPr>
          <w:rFonts w:hint="eastAsia" w:ascii="仿宋_GB2312" w:eastAsia="仿宋_GB2312"/>
          <w:color w:val="auto"/>
          <w:sz w:val="28"/>
          <w:szCs w:val="36"/>
        </w:rPr>
        <w:t>按照财政要求基本支出分月度申报资金使用计划，由财政部门按照进度每月按期拨付，人员支出按照工资计划发放工资；依照</w:t>
      </w:r>
      <w:r>
        <w:rPr>
          <w:rFonts w:hint="eastAsia" w:ascii="仿宋_GB2312" w:eastAsia="仿宋_GB2312"/>
          <w:color w:val="auto"/>
          <w:sz w:val="28"/>
          <w:szCs w:val="36"/>
          <w:lang w:val="en-US" w:eastAsia="zh-CN"/>
        </w:rPr>
        <w:t>财政</w:t>
      </w:r>
      <w:r>
        <w:rPr>
          <w:rFonts w:hint="eastAsia" w:ascii="仿宋_GB2312" w:eastAsia="仿宋_GB2312"/>
          <w:b w:val="0"/>
          <w:bCs w:val="0"/>
          <w:color w:val="auto"/>
          <w:sz w:val="28"/>
          <w:szCs w:val="36"/>
        </w:rPr>
        <w:t>部门</w:t>
      </w:r>
      <w:r>
        <w:rPr>
          <w:rFonts w:hint="eastAsia" w:ascii="仿宋_GB2312" w:eastAsia="仿宋_GB2312"/>
          <w:b w:val="0"/>
          <w:bCs w:val="0"/>
          <w:color w:val="auto"/>
          <w:sz w:val="28"/>
          <w:szCs w:val="36"/>
          <w:lang w:val="en-US" w:eastAsia="zh-CN"/>
        </w:rPr>
        <w:t>特克斯县财政局</w:t>
      </w:r>
      <w:r>
        <w:rPr>
          <w:rFonts w:hint="eastAsia" w:ascii="仿宋_GB2312" w:eastAsia="仿宋_GB2312"/>
          <w:color w:val="auto"/>
          <w:sz w:val="28"/>
          <w:szCs w:val="36"/>
        </w:rPr>
        <w:t>相关规定和</w:t>
      </w:r>
      <w:r>
        <w:rPr>
          <w:rFonts w:hint="eastAsia" w:ascii="仿宋_GB2312" w:eastAsia="仿宋_GB2312"/>
          <w:color w:val="auto"/>
          <w:sz w:val="28"/>
          <w:szCs w:val="36"/>
          <w:lang w:val="en-US" w:eastAsia="zh-CN"/>
        </w:rPr>
        <w:t>本</w:t>
      </w:r>
      <w:r>
        <w:rPr>
          <w:rFonts w:hint="eastAsia" w:ascii="仿宋_GB2312" w:eastAsia="仿宋_GB2312"/>
          <w:b w:val="0"/>
          <w:bCs w:val="0"/>
          <w:color w:val="auto"/>
          <w:sz w:val="28"/>
          <w:szCs w:val="36"/>
        </w:rPr>
        <w:t>单位</w:t>
      </w:r>
      <w:r>
        <w:rPr>
          <w:rFonts w:hint="eastAsia" w:ascii="仿宋_GB2312" w:eastAsia="仿宋_GB2312"/>
          <w:color w:val="auto"/>
          <w:sz w:val="28"/>
          <w:szCs w:val="36"/>
        </w:rPr>
        <w:t>《</w:t>
      </w:r>
      <w:r>
        <w:rPr>
          <w:rFonts w:hint="eastAsia" w:ascii="仿宋_GB2312" w:hAnsi="仿宋_GB2312" w:eastAsia="仿宋_GB2312" w:cs="仿宋_GB2312"/>
          <w:color w:val="auto"/>
          <w:sz w:val="32"/>
          <w:szCs w:val="32"/>
        </w:rPr>
        <w:t>行政单位财务规则</w:t>
      </w:r>
      <w:r>
        <w:rPr>
          <w:rFonts w:hint="eastAsia" w:ascii="仿宋_GB2312" w:eastAsia="仿宋_GB2312"/>
          <w:color w:val="auto"/>
          <w:sz w:val="28"/>
          <w:szCs w:val="36"/>
        </w:rPr>
        <w:t>》规定流程，资金支出按照我内控体系中设定的流程申报审批进行；项目支出属于政府采购的，按照</w:t>
      </w:r>
      <w:r>
        <w:rPr>
          <w:rFonts w:hint="eastAsia" w:ascii="仿宋_GB2312" w:eastAsia="仿宋_GB2312"/>
          <w:color w:val="auto"/>
          <w:sz w:val="28"/>
          <w:szCs w:val="36"/>
          <w:lang w:val="en-US" w:eastAsia="zh-CN"/>
        </w:rPr>
        <w:t>单位</w:t>
      </w:r>
      <w:r>
        <w:rPr>
          <w:rFonts w:hint="eastAsia" w:ascii="仿宋_GB2312" w:eastAsia="仿宋_GB2312"/>
          <w:color w:val="auto"/>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color w:val="auto"/>
          <w:sz w:val="28"/>
          <w:szCs w:val="28"/>
        </w:rPr>
      </w:pPr>
      <w:bookmarkStart w:id="14" w:name="_Toc70450301"/>
      <w:r>
        <w:rPr>
          <w:rStyle w:val="16"/>
          <w:rFonts w:hint="eastAsia"/>
          <w:b/>
          <w:bCs/>
          <w:color w:val="auto"/>
          <w:sz w:val="28"/>
          <w:szCs w:val="28"/>
        </w:rPr>
        <w:t>（二）基本支出管理及使用情况</w:t>
      </w:r>
      <w:bookmarkEnd w:id="14"/>
    </w:p>
    <w:p>
      <w:pPr>
        <w:spacing w:line="360" w:lineRule="auto"/>
        <w:ind w:firstLine="492" w:firstLineChars="181"/>
        <w:rPr>
          <w:rStyle w:val="16"/>
          <w:rFonts w:hint="eastAsia" w:ascii="仿宋_GB2312" w:hAnsi="楷体" w:eastAsia="仿宋_GB2312"/>
          <w:b w:val="0"/>
          <w:color w:val="auto"/>
          <w:spacing w:val="-4"/>
          <w:sz w:val="28"/>
          <w:szCs w:val="28"/>
          <w:lang w:eastAsia="zh-CN"/>
        </w:rPr>
      </w:pPr>
      <w:r>
        <w:rPr>
          <w:rStyle w:val="16"/>
          <w:rFonts w:hint="eastAsia" w:ascii="仿宋_GB2312" w:hAnsi="楷体" w:eastAsia="仿宋_GB2312"/>
          <w:b w:val="0"/>
          <w:color w:val="auto"/>
          <w:spacing w:val="-4"/>
          <w:sz w:val="28"/>
          <w:szCs w:val="28"/>
        </w:rPr>
        <w:t>2021年基本支出预算安排</w:t>
      </w:r>
      <w:r>
        <w:rPr>
          <w:rStyle w:val="16"/>
          <w:rFonts w:hint="eastAsia" w:ascii="仿宋_GB2312" w:hAnsi="楷体" w:eastAsia="仿宋_GB2312"/>
          <w:b w:val="0"/>
          <w:color w:val="auto"/>
          <w:spacing w:val="-4"/>
          <w:sz w:val="28"/>
          <w:szCs w:val="28"/>
          <w:lang w:val="en-US" w:eastAsia="zh-CN"/>
        </w:rPr>
        <w:t>163.37</w:t>
      </w:r>
      <w:r>
        <w:rPr>
          <w:rStyle w:val="16"/>
          <w:rFonts w:hint="eastAsia" w:ascii="仿宋_GB2312" w:hAnsi="楷体" w:eastAsia="仿宋_GB2312"/>
          <w:b w:val="0"/>
          <w:color w:val="auto"/>
          <w:spacing w:val="-4"/>
          <w:sz w:val="28"/>
          <w:szCs w:val="28"/>
        </w:rPr>
        <w:t>万元，实际到位</w:t>
      </w:r>
      <w:r>
        <w:rPr>
          <w:rStyle w:val="16"/>
          <w:rFonts w:hint="eastAsia" w:ascii="仿宋_GB2312" w:hAnsi="楷体" w:eastAsia="仿宋_GB2312"/>
          <w:b w:val="0"/>
          <w:color w:val="auto"/>
          <w:spacing w:val="-4"/>
          <w:sz w:val="28"/>
          <w:szCs w:val="28"/>
          <w:lang w:val="en-US" w:eastAsia="zh-CN"/>
        </w:rPr>
        <w:t>163.37</w:t>
      </w:r>
      <w:r>
        <w:rPr>
          <w:rStyle w:val="16"/>
          <w:rFonts w:hint="eastAsia" w:ascii="仿宋_GB2312" w:hAnsi="楷体" w:eastAsia="仿宋_GB2312"/>
          <w:b w:val="0"/>
          <w:color w:val="auto"/>
          <w:spacing w:val="-4"/>
          <w:sz w:val="28"/>
          <w:szCs w:val="28"/>
        </w:rPr>
        <w:t>万元,实际支出</w:t>
      </w:r>
      <w:r>
        <w:rPr>
          <w:rStyle w:val="16"/>
          <w:rFonts w:hint="eastAsia" w:ascii="仿宋_GB2312" w:hAnsi="楷体" w:eastAsia="仿宋_GB2312"/>
          <w:b w:val="0"/>
          <w:color w:val="auto"/>
          <w:spacing w:val="-4"/>
          <w:sz w:val="28"/>
          <w:szCs w:val="28"/>
          <w:lang w:val="en-US" w:eastAsia="zh-CN"/>
        </w:rPr>
        <w:t>163.37</w:t>
      </w:r>
      <w:r>
        <w:rPr>
          <w:rStyle w:val="16"/>
          <w:rFonts w:hint="eastAsia" w:ascii="仿宋_GB2312" w:hAnsi="楷体" w:eastAsia="仿宋_GB2312"/>
          <w:b w:val="0"/>
          <w:color w:val="auto"/>
          <w:spacing w:val="-4"/>
          <w:sz w:val="28"/>
          <w:szCs w:val="28"/>
        </w:rPr>
        <w:t>万元，占总支出的</w:t>
      </w:r>
      <w:r>
        <w:rPr>
          <w:rStyle w:val="16"/>
          <w:rFonts w:hint="eastAsia" w:ascii="仿宋_GB2312" w:hAnsi="楷体" w:eastAsia="仿宋_GB2312"/>
          <w:b w:val="0"/>
          <w:color w:val="auto"/>
          <w:spacing w:val="-4"/>
          <w:sz w:val="28"/>
          <w:szCs w:val="28"/>
          <w:lang w:val="en-US" w:eastAsia="zh-CN"/>
        </w:rPr>
        <w:t>99.63</w:t>
      </w:r>
      <w:r>
        <w:rPr>
          <w:rStyle w:val="16"/>
          <w:rFonts w:hint="eastAsia" w:ascii="仿宋_GB2312" w:hAnsi="楷体" w:eastAsia="仿宋_GB2312"/>
          <w:b w:val="0"/>
          <w:color w:val="auto"/>
          <w:spacing w:val="-4"/>
          <w:sz w:val="28"/>
          <w:szCs w:val="28"/>
        </w:rPr>
        <w:t>％，其中：工资福利支出</w:t>
      </w:r>
      <w:r>
        <w:rPr>
          <w:rStyle w:val="16"/>
          <w:rFonts w:hint="eastAsia" w:ascii="仿宋_GB2312" w:hAnsi="楷体" w:eastAsia="仿宋_GB2312"/>
          <w:b w:val="0"/>
          <w:color w:val="auto"/>
          <w:spacing w:val="-4"/>
          <w:sz w:val="28"/>
          <w:szCs w:val="28"/>
          <w:lang w:val="en-US" w:eastAsia="zh-CN"/>
        </w:rPr>
        <w:t>146.15</w:t>
      </w:r>
      <w:r>
        <w:rPr>
          <w:rStyle w:val="16"/>
          <w:rFonts w:hint="eastAsia" w:ascii="仿宋_GB2312" w:hAnsi="楷体" w:eastAsia="仿宋_GB2312"/>
          <w:b w:val="0"/>
          <w:color w:val="auto"/>
          <w:spacing w:val="-4"/>
          <w:sz w:val="28"/>
          <w:szCs w:val="28"/>
        </w:rPr>
        <w:t>万元，主要用于在职和离退休人员基本工资、津贴补贴等人员经费。商品和服务支出</w:t>
      </w:r>
      <w:r>
        <w:rPr>
          <w:rStyle w:val="16"/>
          <w:rFonts w:hint="eastAsia" w:ascii="仿宋_GB2312" w:hAnsi="楷体" w:eastAsia="仿宋_GB2312"/>
          <w:b w:val="0"/>
          <w:color w:val="auto"/>
          <w:spacing w:val="-4"/>
          <w:sz w:val="28"/>
          <w:szCs w:val="28"/>
          <w:lang w:val="en-US" w:eastAsia="zh-CN"/>
        </w:rPr>
        <w:t>15.27</w:t>
      </w:r>
      <w:r>
        <w:rPr>
          <w:rStyle w:val="16"/>
          <w:rFonts w:hint="eastAsia" w:ascii="仿宋_GB2312" w:hAnsi="楷体" w:eastAsia="仿宋_GB2312"/>
          <w:b w:val="0"/>
          <w:color w:val="auto"/>
          <w:spacing w:val="-4"/>
          <w:sz w:val="28"/>
          <w:szCs w:val="28"/>
        </w:rPr>
        <w:t>万元，主要用于办公费、印刷费、水电费、办公设备购置等。对个人和家庭的补助</w:t>
      </w:r>
      <w:r>
        <w:rPr>
          <w:rStyle w:val="16"/>
          <w:rFonts w:hint="eastAsia" w:ascii="仿宋_GB2312" w:hAnsi="楷体" w:eastAsia="仿宋_GB2312"/>
          <w:b w:val="0"/>
          <w:color w:val="auto"/>
          <w:spacing w:val="-4"/>
          <w:sz w:val="28"/>
          <w:szCs w:val="28"/>
          <w:lang w:val="en-US" w:eastAsia="zh-CN"/>
        </w:rPr>
        <w:t>1.95</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eastAsia="zh-CN"/>
        </w:rPr>
        <w:t>。</w:t>
      </w:r>
    </w:p>
    <w:p>
      <w:pPr>
        <w:spacing w:line="360" w:lineRule="auto"/>
        <w:ind w:firstLine="492" w:firstLineChars="181"/>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2021年基本支出比上年</w:t>
      </w:r>
      <w:r>
        <w:rPr>
          <w:rStyle w:val="16"/>
          <w:rFonts w:hint="eastAsia" w:ascii="仿宋_GB2312" w:hAnsi="楷体" w:eastAsia="仿宋_GB2312"/>
          <w:b w:val="0"/>
          <w:color w:val="auto"/>
          <w:spacing w:val="-4"/>
          <w:sz w:val="28"/>
          <w:szCs w:val="28"/>
          <w:lang w:val="en-US" w:eastAsia="zh-CN"/>
        </w:rPr>
        <w:t>159.13</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val="en-US" w:eastAsia="zh-CN"/>
        </w:rPr>
        <w:t>增加4.84</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val="en-US" w:eastAsia="zh-CN"/>
        </w:rPr>
        <w:t>增长3.04</w:t>
      </w:r>
      <w:r>
        <w:rPr>
          <w:rStyle w:val="16"/>
          <w:rFonts w:hint="eastAsia" w:ascii="仿宋_GB2312" w:hAnsi="楷体" w:eastAsia="仿宋_GB2312"/>
          <w:b w:val="0"/>
          <w:color w:val="auto"/>
          <w:spacing w:val="-4"/>
          <w:sz w:val="28"/>
          <w:szCs w:val="28"/>
        </w:rPr>
        <w:t>%，支出</w:t>
      </w:r>
      <w:r>
        <w:rPr>
          <w:rStyle w:val="16"/>
          <w:rFonts w:hint="eastAsia" w:ascii="仿宋_GB2312" w:hAnsi="楷体" w:eastAsia="仿宋_GB2312"/>
          <w:b w:val="0"/>
          <w:color w:val="auto"/>
          <w:spacing w:val="-4"/>
          <w:sz w:val="28"/>
          <w:szCs w:val="28"/>
          <w:lang w:val="en-US" w:eastAsia="zh-CN"/>
        </w:rPr>
        <w:t>增加</w:t>
      </w:r>
      <w:r>
        <w:rPr>
          <w:rStyle w:val="16"/>
          <w:rFonts w:hint="eastAsia" w:ascii="仿宋_GB2312" w:hAnsi="楷体" w:eastAsia="仿宋_GB2312"/>
          <w:b w:val="0"/>
          <w:color w:val="auto"/>
          <w:spacing w:val="-4"/>
          <w:sz w:val="28"/>
          <w:szCs w:val="28"/>
        </w:rPr>
        <w:t>的主要原因是</w:t>
      </w:r>
      <w:r>
        <w:rPr>
          <w:rStyle w:val="16"/>
          <w:rFonts w:hint="eastAsia" w:ascii="仿宋_GB2312" w:hAnsi="楷体" w:eastAsia="仿宋_GB2312"/>
          <w:b w:val="0"/>
          <w:color w:val="auto"/>
          <w:spacing w:val="-4"/>
          <w:sz w:val="28"/>
          <w:szCs w:val="28"/>
          <w:lang w:eastAsia="zh-CN"/>
        </w:rPr>
        <w:t>：</w:t>
      </w:r>
      <w:r>
        <w:rPr>
          <w:rStyle w:val="16"/>
          <w:rFonts w:hint="eastAsia" w:ascii="仿宋_GB2312" w:hAnsi="楷体" w:eastAsia="仿宋_GB2312"/>
          <w:b w:val="0"/>
          <w:color w:val="auto"/>
          <w:spacing w:val="-4"/>
          <w:sz w:val="28"/>
          <w:szCs w:val="28"/>
          <w:lang w:val="en-US" w:eastAsia="zh-CN"/>
        </w:rPr>
        <w:t>基本工资增加，绩效工资发放到位</w:t>
      </w:r>
      <w:r>
        <w:rPr>
          <w:rStyle w:val="16"/>
          <w:rFonts w:hint="eastAsia" w:ascii="仿宋_GB2312" w:hAnsi="楷体" w:eastAsia="仿宋_GB2312"/>
          <w:b w:val="0"/>
          <w:color w:val="auto"/>
          <w:spacing w:val="-4"/>
          <w:sz w:val="28"/>
          <w:szCs w:val="28"/>
        </w:rPr>
        <w:t>。</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2021年一般公共预算“三公”经费数为</w:t>
      </w:r>
      <w:r>
        <w:rPr>
          <w:rStyle w:val="16"/>
          <w:rFonts w:hint="eastAsia" w:ascii="仿宋_GB2312" w:hAnsi="楷体" w:eastAsia="仿宋_GB2312"/>
          <w:b w:val="0"/>
          <w:color w:val="auto"/>
          <w:spacing w:val="-4"/>
          <w:sz w:val="28"/>
          <w:szCs w:val="28"/>
          <w:lang w:val="en-US" w:eastAsia="zh-CN"/>
        </w:rPr>
        <w:t>0.8</w:t>
      </w:r>
      <w:r>
        <w:rPr>
          <w:rStyle w:val="16"/>
          <w:rFonts w:hint="eastAsia" w:ascii="仿宋_GB2312" w:hAnsi="楷体" w:eastAsia="仿宋_GB2312"/>
          <w:b w:val="0"/>
          <w:color w:val="auto"/>
          <w:spacing w:val="-4"/>
          <w:sz w:val="28"/>
          <w:szCs w:val="28"/>
        </w:rPr>
        <w:t>万元，其中：因公出国（境）费</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万元，公务用车购置</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万元，公务用车运行费</w:t>
      </w:r>
      <w:r>
        <w:rPr>
          <w:rStyle w:val="16"/>
          <w:rFonts w:hint="eastAsia" w:ascii="仿宋_GB2312" w:hAnsi="楷体" w:eastAsia="仿宋_GB2312"/>
          <w:b w:val="0"/>
          <w:color w:val="auto"/>
          <w:spacing w:val="-4"/>
          <w:sz w:val="28"/>
          <w:szCs w:val="28"/>
          <w:lang w:val="en-US" w:eastAsia="zh-CN"/>
        </w:rPr>
        <w:t>0.8</w:t>
      </w:r>
      <w:r>
        <w:rPr>
          <w:rStyle w:val="16"/>
          <w:rFonts w:hint="eastAsia" w:ascii="仿宋_GB2312" w:hAnsi="楷体" w:eastAsia="仿宋_GB2312"/>
          <w:b w:val="0"/>
          <w:color w:val="auto"/>
          <w:spacing w:val="-4"/>
          <w:sz w:val="28"/>
          <w:szCs w:val="28"/>
        </w:rPr>
        <w:t>万元，公务接待费</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w:t>
      </w:r>
    </w:p>
    <w:p>
      <w:pPr>
        <w:spacing w:line="360" w:lineRule="auto"/>
        <w:ind w:firstLine="492" w:firstLineChars="181"/>
        <w:rPr>
          <w:rStyle w:val="16"/>
          <w:rFonts w:ascii="仿宋_GB2312" w:hAnsi="楷体" w:eastAsia="仿宋_GB2312"/>
          <w:b w:val="0"/>
          <w:color w:val="auto"/>
          <w:spacing w:val="-4"/>
          <w:sz w:val="28"/>
          <w:szCs w:val="28"/>
        </w:rPr>
      </w:pP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年一般公共预算“三公”经费比上年</w:t>
      </w:r>
      <w:r>
        <w:rPr>
          <w:rStyle w:val="16"/>
          <w:rFonts w:hint="eastAsia" w:ascii="仿宋_GB2312" w:hAnsi="楷体" w:eastAsia="仿宋_GB2312"/>
          <w:b w:val="0"/>
          <w:color w:val="auto"/>
          <w:spacing w:val="-4"/>
          <w:sz w:val="28"/>
          <w:szCs w:val="28"/>
          <w:lang w:val="en-US" w:eastAsia="zh-CN"/>
        </w:rPr>
        <w:t>减少0</w:t>
      </w:r>
      <w:r>
        <w:rPr>
          <w:rStyle w:val="16"/>
          <w:rFonts w:hint="eastAsia" w:ascii="仿宋_GB2312" w:hAnsi="楷体" w:eastAsia="仿宋_GB2312"/>
          <w:b w:val="0"/>
          <w:color w:val="auto"/>
          <w:spacing w:val="-4"/>
          <w:sz w:val="28"/>
          <w:szCs w:val="28"/>
        </w:rPr>
        <w:t>万元，其中：因公出国（境）费增加</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万元，主要原因是未安排预算 ；公务用车购置费为0，未安排预算。公务用车运行费</w:t>
      </w:r>
      <w:r>
        <w:rPr>
          <w:rStyle w:val="16"/>
          <w:rFonts w:hint="eastAsia" w:ascii="仿宋_GB2312" w:hAnsi="楷体" w:eastAsia="仿宋_GB2312"/>
          <w:b w:val="0"/>
          <w:color w:val="auto"/>
          <w:spacing w:val="-4"/>
          <w:sz w:val="28"/>
          <w:szCs w:val="28"/>
          <w:lang w:val="en-US" w:eastAsia="zh-CN"/>
        </w:rPr>
        <w:t>减少0</w:t>
      </w:r>
      <w:r>
        <w:rPr>
          <w:rStyle w:val="16"/>
          <w:rFonts w:hint="eastAsia" w:ascii="仿宋_GB2312" w:hAnsi="楷体" w:eastAsia="仿宋_GB2312"/>
          <w:b w:val="0"/>
          <w:color w:val="auto"/>
          <w:spacing w:val="-4"/>
          <w:sz w:val="28"/>
          <w:szCs w:val="28"/>
        </w:rPr>
        <w:t>万元，主要原因是</w:t>
      </w:r>
      <w:r>
        <w:rPr>
          <w:rStyle w:val="16"/>
          <w:rFonts w:hint="eastAsia" w:ascii="仿宋_GB2312" w:hAnsi="楷体" w:eastAsia="仿宋_GB2312"/>
          <w:b w:val="0"/>
          <w:color w:val="auto"/>
          <w:spacing w:val="-4"/>
          <w:sz w:val="28"/>
          <w:szCs w:val="28"/>
          <w:lang w:eastAsia="zh-CN"/>
        </w:rPr>
        <w:t>：</w:t>
      </w:r>
      <w:r>
        <w:rPr>
          <w:rStyle w:val="16"/>
          <w:rFonts w:hint="eastAsia" w:ascii="仿宋_GB2312" w:hAnsi="楷体" w:eastAsia="仿宋_GB2312"/>
          <w:b w:val="0"/>
          <w:color w:val="auto"/>
          <w:spacing w:val="-4"/>
          <w:sz w:val="28"/>
          <w:szCs w:val="28"/>
          <w:lang w:val="en-US" w:eastAsia="zh-CN"/>
        </w:rPr>
        <w:t>未发生变化</w:t>
      </w:r>
      <w:r>
        <w:rPr>
          <w:rStyle w:val="16"/>
          <w:rFonts w:hint="eastAsia" w:ascii="仿宋_GB2312" w:hAnsi="楷体" w:eastAsia="仿宋_GB2312"/>
          <w:b w:val="0"/>
          <w:color w:val="auto"/>
          <w:spacing w:val="-4"/>
          <w:sz w:val="28"/>
          <w:szCs w:val="28"/>
        </w:rPr>
        <w:t>；公务接待费增加</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万元，主要原因是未安排预算。</w:t>
      </w:r>
    </w:p>
    <w:p>
      <w:pPr>
        <w:pStyle w:val="4"/>
        <w:spacing w:line="360" w:lineRule="auto"/>
        <w:rPr>
          <w:rStyle w:val="16"/>
          <w:rFonts w:ascii="仿宋" w:hAnsi="仿宋" w:eastAsia="仿宋"/>
          <w:b/>
          <w:bCs/>
          <w:color w:val="auto"/>
        </w:rPr>
      </w:pPr>
      <w:bookmarkStart w:id="15" w:name="_Toc70450302"/>
      <w:r>
        <w:rPr>
          <w:rStyle w:val="16"/>
          <w:rFonts w:hint="eastAsia" w:ascii="仿宋" w:hAnsi="仿宋" w:eastAsia="仿宋"/>
          <w:b/>
          <w:bCs/>
          <w:color w:val="auto"/>
        </w:rPr>
        <w:t>（三）专项支出管理及使用情况</w:t>
      </w:r>
      <w:bookmarkEnd w:id="15"/>
    </w:p>
    <w:p>
      <w:pPr>
        <w:pStyle w:val="5"/>
        <w:spacing w:line="360" w:lineRule="auto"/>
        <w:ind w:firstLine="562" w:firstLineChars="200"/>
        <w:rPr>
          <w:rStyle w:val="16"/>
          <w:rFonts w:ascii="仿宋" w:hAnsi="仿宋" w:eastAsia="仿宋"/>
          <w:b/>
          <w:bCs/>
          <w:color w:val="auto"/>
        </w:rPr>
      </w:pPr>
      <w:bookmarkStart w:id="16" w:name="_Toc70450303"/>
      <w:r>
        <w:rPr>
          <w:rStyle w:val="16"/>
          <w:rFonts w:hint="eastAsia" w:ascii="仿宋" w:hAnsi="仿宋" w:eastAsia="仿宋"/>
          <w:b/>
          <w:bCs/>
          <w:color w:val="auto"/>
        </w:rPr>
        <w:t>1、专项资金安排落实、总投入等情况分析</w:t>
      </w:r>
      <w:bookmarkEnd w:id="16"/>
    </w:p>
    <w:p>
      <w:pPr>
        <w:spacing w:line="360" w:lineRule="auto"/>
        <w:ind w:firstLine="492" w:firstLineChars="181"/>
        <w:rPr>
          <w:rStyle w:val="16"/>
          <w:rFonts w:ascii="仿宋_GB2312" w:hAnsi="楷体" w:eastAsia="仿宋_GB2312"/>
          <w:b w:val="0"/>
          <w:color w:val="auto"/>
          <w:spacing w:val="-4"/>
          <w:sz w:val="28"/>
          <w:szCs w:val="28"/>
        </w:rPr>
      </w:pP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年预算安排专项资金</w:t>
      </w:r>
      <w:r>
        <w:rPr>
          <w:rStyle w:val="16"/>
          <w:rFonts w:hint="eastAsia" w:ascii="仿宋_GB2312" w:hAnsi="楷体" w:eastAsia="仿宋_GB2312"/>
          <w:b w:val="0"/>
          <w:color w:val="auto"/>
          <w:spacing w:val="-4"/>
          <w:sz w:val="28"/>
          <w:szCs w:val="28"/>
          <w:lang w:val="en-US" w:eastAsia="zh-CN"/>
        </w:rPr>
        <w:t>0.6</w:t>
      </w:r>
      <w:r>
        <w:rPr>
          <w:rStyle w:val="16"/>
          <w:rFonts w:hint="eastAsia" w:ascii="仿宋_GB2312" w:hAnsi="楷体" w:eastAsia="仿宋_GB2312"/>
          <w:b w:val="0"/>
          <w:color w:val="auto"/>
          <w:spacing w:val="-4"/>
          <w:sz w:val="28"/>
          <w:szCs w:val="28"/>
        </w:rPr>
        <w:t>万元，实际到位</w:t>
      </w:r>
      <w:r>
        <w:rPr>
          <w:rStyle w:val="16"/>
          <w:rFonts w:hint="eastAsia" w:ascii="仿宋_GB2312" w:hAnsi="楷体" w:eastAsia="仿宋_GB2312"/>
          <w:b w:val="0"/>
          <w:color w:val="auto"/>
          <w:spacing w:val="-4"/>
          <w:sz w:val="28"/>
          <w:szCs w:val="28"/>
          <w:lang w:val="en-US" w:eastAsia="zh-CN"/>
        </w:rPr>
        <w:t>0.6</w:t>
      </w:r>
      <w:r>
        <w:rPr>
          <w:rStyle w:val="16"/>
          <w:rFonts w:hint="eastAsia" w:ascii="仿宋_GB2312" w:hAnsi="楷体" w:eastAsia="仿宋_GB2312"/>
          <w:b w:val="0"/>
          <w:color w:val="auto"/>
          <w:spacing w:val="-4"/>
          <w:sz w:val="28"/>
          <w:szCs w:val="28"/>
        </w:rPr>
        <w:t>万元,</w:t>
      </w:r>
      <w:r>
        <w:rPr>
          <w:rFonts w:hint="eastAsia"/>
          <w:color w:val="auto"/>
        </w:rPr>
        <w:t xml:space="preserve"> </w:t>
      </w:r>
      <w:r>
        <w:rPr>
          <w:rStyle w:val="16"/>
          <w:rFonts w:hint="eastAsia" w:ascii="仿宋_GB2312" w:hAnsi="楷体" w:eastAsia="仿宋_GB2312"/>
          <w:b w:val="0"/>
          <w:color w:val="auto"/>
          <w:spacing w:val="-4"/>
          <w:sz w:val="28"/>
          <w:szCs w:val="28"/>
        </w:rPr>
        <w:t>到位率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％,其中:中央转移支付项目资金</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万元，自治区</w:t>
      </w:r>
      <w:r>
        <w:rPr>
          <w:rStyle w:val="16"/>
          <w:rFonts w:hint="eastAsia" w:ascii="仿宋_GB2312" w:hAnsi="楷体" w:eastAsia="仿宋_GB2312"/>
          <w:b w:val="0"/>
          <w:color w:val="auto"/>
          <w:spacing w:val="-4"/>
          <w:sz w:val="28"/>
          <w:szCs w:val="28"/>
          <w:lang w:val="en-US" w:eastAsia="zh-CN"/>
        </w:rPr>
        <w:t>0.6</w:t>
      </w:r>
      <w:r>
        <w:rPr>
          <w:rStyle w:val="16"/>
          <w:rFonts w:hint="eastAsia" w:ascii="仿宋_GB2312" w:hAnsi="楷体" w:eastAsia="仿宋_GB2312"/>
          <w:b w:val="0"/>
          <w:color w:val="auto"/>
          <w:spacing w:val="-4"/>
          <w:sz w:val="28"/>
          <w:szCs w:val="28"/>
        </w:rPr>
        <w:t>万元，本级安排</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w:t>
      </w:r>
    </w:p>
    <w:p>
      <w:pPr>
        <w:pStyle w:val="5"/>
        <w:spacing w:line="360" w:lineRule="auto"/>
        <w:ind w:firstLine="562" w:firstLineChars="200"/>
        <w:rPr>
          <w:rStyle w:val="16"/>
          <w:rFonts w:ascii="仿宋" w:hAnsi="仿宋" w:eastAsia="仿宋"/>
          <w:b/>
          <w:bCs/>
          <w:color w:val="auto"/>
        </w:rPr>
      </w:pPr>
      <w:bookmarkStart w:id="17" w:name="_Toc70450304"/>
      <w:r>
        <w:rPr>
          <w:rStyle w:val="16"/>
          <w:rFonts w:hint="eastAsia" w:ascii="仿宋" w:hAnsi="仿宋" w:eastAsia="仿宋"/>
          <w:b/>
          <w:bCs/>
          <w:color w:val="auto"/>
        </w:rPr>
        <w:t>2、专项资金实际使用情况</w:t>
      </w:r>
      <w:bookmarkEnd w:id="17"/>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2021年专项资金</w:t>
      </w:r>
      <w:r>
        <w:rPr>
          <w:rStyle w:val="16"/>
          <w:rFonts w:hint="eastAsia" w:ascii="仿宋_GB2312" w:hAnsi="楷体" w:eastAsia="仿宋_GB2312"/>
          <w:b w:val="0"/>
          <w:color w:val="auto"/>
          <w:spacing w:val="-4"/>
          <w:sz w:val="28"/>
          <w:szCs w:val="28"/>
          <w:lang w:val="en-US" w:eastAsia="zh-CN"/>
        </w:rPr>
        <w:t>0.6</w:t>
      </w:r>
      <w:r>
        <w:rPr>
          <w:rStyle w:val="16"/>
          <w:rFonts w:hint="eastAsia" w:ascii="仿宋_GB2312" w:hAnsi="楷体" w:eastAsia="仿宋_GB2312"/>
          <w:b w:val="0"/>
          <w:color w:val="auto"/>
          <w:spacing w:val="-4"/>
          <w:sz w:val="28"/>
          <w:szCs w:val="28"/>
        </w:rPr>
        <w:t>万元，占总支出的</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%，其中2021年专项项目支出比上年</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万元增</w:t>
      </w:r>
      <w:r>
        <w:rPr>
          <w:rStyle w:val="16"/>
          <w:rFonts w:hint="eastAsia" w:ascii="仿宋_GB2312" w:hAnsi="楷体" w:eastAsia="仿宋_GB2312"/>
          <w:b w:val="0"/>
          <w:color w:val="auto"/>
          <w:spacing w:val="-4"/>
          <w:sz w:val="28"/>
          <w:szCs w:val="28"/>
          <w:lang w:val="en-US" w:eastAsia="zh-CN"/>
        </w:rPr>
        <w:t>0.6</w:t>
      </w:r>
      <w:r>
        <w:rPr>
          <w:rStyle w:val="16"/>
          <w:rFonts w:hint="eastAsia" w:ascii="仿宋_GB2312" w:hAnsi="楷体" w:eastAsia="仿宋_GB2312"/>
          <w:b w:val="0"/>
          <w:color w:val="auto"/>
          <w:spacing w:val="-4"/>
          <w:sz w:val="28"/>
          <w:szCs w:val="28"/>
        </w:rPr>
        <w:t>万元，上升</w:t>
      </w:r>
      <w:r>
        <w:rPr>
          <w:rStyle w:val="16"/>
          <w:rFonts w:hint="eastAsia" w:ascii="仿宋_GB2312" w:hAnsi="楷体" w:eastAsia="仿宋_GB2312"/>
          <w:b w:val="0"/>
          <w:color w:val="auto"/>
          <w:spacing w:val="-4"/>
          <w:sz w:val="28"/>
          <w:szCs w:val="28"/>
          <w:lang w:val="en-US" w:eastAsia="zh-CN"/>
        </w:rPr>
        <w:t>100</w:t>
      </w:r>
      <w:r>
        <w:rPr>
          <w:rStyle w:val="16"/>
          <w:rFonts w:ascii="仿宋_GB2312" w:hAnsi="楷体" w:eastAsia="仿宋_GB2312"/>
          <w:b w:val="0"/>
          <w:color w:val="auto"/>
          <w:spacing w:val="-4"/>
          <w:sz w:val="28"/>
          <w:szCs w:val="28"/>
        </w:rPr>
        <w:t xml:space="preserve"> </w:t>
      </w:r>
      <w:r>
        <w:rPr>
          <w:rStyle w:val="16"/>
          <w:rFonts w:hint="eastAsia" w:ascii="仿宋_GB2312" w:hAnsi="楷体" w:eastAsia="仿宋_GB2312"/>
          <w:b w:val="0"/>
          <w:color w:val="auto"/>
          <w:spacing w:val="-4"/>
          <w:sz w:val="28"/>
          <w:szCs w:val="28"/>
        </w:rPr>
        <w:t>%。支出上升的主要原因是</w:t>
      </w:r>
      <w:r>
        <w:rPr>
          <w:rStyle w:val="16"/>
          <w:rFonts w:hint="eastAsia" w:ascii="仿宋_GB2312" w:hAnsi="楷体" w:eastAsia="仿宋_GB2312"/>
          <w:b w:val="0"/>
          <w:color w:val="auto"/>
          <w:spacing w:val="-4"/>
          <w:sz w:val="28"/>
          <w:szCs w:val="28"/>
          <w:lang w:val="en-US" w:eastAsia="zh-CN"/>
        </w:rPr>
        <w:t>上</w:t>
      </w:r>
      <w:r>
        <w:rPr>
          <w:rStyle w:val="16"/>
          <w:rFonts w:hint="eastAsia" w:ascii="仿宋_GB2312" w:hAnsi="楷体" w:eastAsia="仿宋_GB2312"/>
          <w:b w:val="0"/>
          <w:spacing w:val="-4"/>
          <w:sz w:val="28"/>
          <w:szCs w:val="28"/>
          <w:highlight w:val="none"/>
          <w:lang w:val="en-US" w:eastAsia="zh-CN"/>
        </w:rPr>
        <w:t>年度项目由主管单位负责</w:t>
      </w:r>
      <w:r>
        <w:rPr>
          <w:rStyle w:val="16"/>
          <w:rFonts w:hint="eastAsia" w:ascii="仿宋_GB2312" w:hAnsi="楷体" w:eastAsia="仿宋_GB2312"/>
          <w:b w:val="0"/>
          <w:color w:val="auto"/>
          <w:spacing w:val="-4"/>
          <w:sz w:val="28"/>
          <w:szCs w:val="28"/>
          <w:highlight w:val="none"/>
        </w:rPr>
        <w:t>。</w:t>
      </w:r>
    </w:p>
    <w:p>
      <w:pPr>
        <w:pStyle w:val="5"/>
        <w:spacing w:line="360" w:lineRule="auto"/>
        <w:ind w:firstLine="562" w:firstLineChars="200"/>
        <w:rPr>
          <w:rStyle w:val="16"/>
          <w:rFonts w:ascii="仿宋" w:hAnsi="仿宋" w:eastAsia="仿宋"/>
          <w:b/>
          <w:bCs/>
          <w:color w:val="auto"/>
        </w:rPr>
      </w:pPr>
      <w:bookmarkStart w:id="18" w:name="_Toc70450305"/>
      <w:r>
        <w:rPr>
          <w:rStyle w:val="16"/>
          <w:rFonts w:hint="eastAsia" w:ascii="仿宋" w:hAnsi="仿宋" w:eastAsia="仿宋"/>
          <w:b/>
          <w:bCs/>
          <w:color w:val="auto"/>
        </w:rPr>
        <w:t>3、专项资金管理情况</w:t>
      </w:r>
      <w:bookmarkEnd w:id="18"/>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为规范专项资金使用，提高专项资金使用效益，我单位主要采取四项措施。</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（1）制定了专项资金管理办法，，各项资金使用审批流程均按规定办理。涉及“三重一大”内容，严格按照规定提请局党组会审议决定，包括项目资金分配、重大项目确定、大额资金支付等。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w:t>
      </w:r>
      <w:r>
        <w:rPr>
          <w:rStyle w:val="16"/>
          <w:rFonts w:ascii="仿宋_GB2312" w:hAnsi="楷体" w:eastAsia="仿宋_GB2312"/>
          <w:b w:val="0"/>
          <w:color w:val="auto"/>
          <w:spacing w:val="-4"/>
          <w:sz w:val="28"/>
          <w:szCs w:val="28"/>
        </w:rPr>
        <w:t>2</w:t>
      </w:r>
      <w:r>
        <w:rPr>
          <w:rStyle w:val="16"/>
          <w:rFonts w:hint="eastAsia" w:ascii="仿宋_GB2312" w:hAnsi="楷体" w:eastAsia="仿宋_GB2312"/>
          <w:b w:val="0"/>
          <w:color w:val="auto"/>
          <w:spacing w:val="-4"/>
          <w:sz w:val="28"/>
          <w:szCs w:val="28"/>
        </w:rPr>
        <w:t>）建立专项资金专帐，做到有据可依，有据可查。</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（3）制订了项目实施方案，确保项目。</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（4）认真组织项目验收，确保。</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专项资金涉及政府采购项目的，按照局《采购与招标管理办法》组织人员制定采购计划，按照财政局采购部门批复，进行公开招标、邀请招标等方式进行。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color w:val="auto"/>
          <w:spacing w:val="-4"/>
          <w:sz w:val="28"/>
          <w:szCs w:val="28"/>
        </w:rPr>
      </w:pPr>
    </w:p>
    <w:p>
      <w:pPr>
        <w:pStyle w:val="3"/>
        <w:spacing w:line="360" w:lineRule="auto"/>
        <w:rPr>
          <w:rFonts w:ascii="仿宋" w:hAnsi="仿宋" w:eastAsia="仿宋"/>
          <w:color w:val="auto"/>
          <w:sz w:val="36"/>
          <w:szCs w:val="36"/>
          <w:lang w:bidi="ar"/>
        </w:rPr>
      </w:pPr>
      <w:bookmarkStart w:id="19" w:name="_Toc70450306"/>
      <w:r>
        <w:rPr>
          <w:rFonts w:hint="eastAsia" w:ascii="仿宋" w:hAnsi="仿宋" w:eastAsia="仿宋"/>
          <w:color w:val="auto"/>
          <w:sz w:val="36"/>
          <w:szCs w:val="36"/>
          <w:lang w:bidi="ar"/>
        </w:rPr>
        <w:t>三、部门单位专项组织实施情况</w:t>
      </w:r>
      <w:bookmarkEnd w:id="19"/>
    </w:p>
    <w:p>
      <w:pPr>
        <w:pStyle w:val="5"/>
        <w:numPr>
          <w:ilvl w:val="0"/>
          <w:numId w:val="2"/>
        </w:numPr>
        <w:spacing w:line="360" w:lineRule="auto"/>
        <w:rPr>
          <w:rStyle w:val="16"/>
          <w:rFonts w:ascii="仿宋" w:hAnsi="仿宋" w:eastAsia="仿宋"/>
          <w:b/>
          <w:bCs/>
          <w:color w:val="auto"/>
        </w:rPr>
      </w:pPr>
      <w:bookmarkStart w:id="20" w:name="_Toc70450308"/>
      <w:r>
        <w:rPr>
          <w:rStyle w:val="16"/>
          <w:rFonts w:hint="eastAsia" w:ascii="仿宋" w:hAnsi="仿宋" w:eastAsia="仿宋"/>
          <w:b/>
          <w:bCs/>
          <w:color w:val="auto"/>
        </w:rPr>
        <w:t>专项组织情况分析</w:t>
      </w:r>
      <w:bookmarkEnd w:id="20"/>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1、前期准备</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年初我部门单位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color w:val="auto"/>
          <w:spacing w:val="-4"/>
          <w:sz w:val="28"/>
          <w:szCs w:val="28"/>
        </w:rPr>
        <w:t>1</w:t>
      </w:r>
      <w:r>
        <w:rPr>
          <w:rStyle w:val="16"/>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2、组织实施</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hint="eastAsia" w:ascii="宋体" w:hAnsi="宋体" w:eastAsia="宋体"/>
          <w:color w:val="auto"/>
          <w:spacing w:val="-4"/>
          <w:sz w:val="28"/>
          <w:szCs w:val="28"/>
        </w:rPr>
      </w:pPr>
      <w:r>
        <w:rPr>
          <w:rStyle w:val="16"/>
          <w:rFonts w:hint="eastAsia" w:ascii="仿宋_GB2312" w:hAnsi="楷体" w:eastAsia="仿宋_GB2312"/>
          <w:b w:val="0"/>
          <w:bCs w:val="0"/>
          <w:color w:val="auto"/>
          <w:spacing w:val="-4"/>
          <w:sz w:val="28"/>
          <w:szCs w:val="28"/>
        </w:rPr>
        <w:t>截止12月</w:t>
      </w:r>
      <w:r>
        <w:rPr>
          <w:rStyle w:val="16"/>
          <w:rFonts w:hint="eastAsia" w:ascii="仿宋_GB2312" w:hAnsi="楷体" w:eastAsia="仿宋_GB2312"/>
          <w:b w:val="0"/>
          <w:bCs w:val="0"/>
          <w:color w:val="auto"/>
          <w:spacing w:val="-4"/>
          <w:sz w:val="28"/>
          <w:szCs w:val="28"/>
          <w:lang w:val="en-US" w:eastAsia="zh-CN"/>
        </w:rPr>
        <w:t>31</w:t>
      </w:r>
      <w:r>
        <w:rPr>
          <w:rStyle w:val="16"/>
          <w:rFonts w:hint="eastAsia" w:ascii="仿宋_GB2312" w:hAnsi="楷体" w:eastAsia="仿宋_GB2312"/>
          <w:b w:val="0"/>
          <w:bCs w:val="0"/>
          <w:color w:val="auto"/>
          <w:spacing w:val="-4"/>
          <w:sz w:val="28"/>
          <w:szCs w:val="28"/>
        </w:rPr>
        <w:t>日，该专项均按照时间计划保质、保量完成。</w:t>
      </w:r>
    </w:p>
    <w:p>
      <w:pPr>
        <w:pStyle w:val="5"/>
        <w:numPr>
          <w:ilvl w:val="0"/>
          <w:numId w:val="2"/>
        </w:numPr>
        <w:spacing w:line="360" w:lineRule="auto"/>
        <w:rPr>
          <w:rStyle w:val="16"/>
          <w:rFonts w:ascii="仿宋" w:hAnsi="仿宋" w:eastAsia="仿宋"/>
          <w:b/>
          <w:bCs/>
          <w:color w:val="auto"/>
        </w:rPr>
      </w:pPr>
      <w:bookmarkStart w:id="21" w:name="_Toc70450309"/>
      <w:r>
        <w:rPr>
          <w:rStyle w:val="16"/>
          <w:rFonts w:hint="eastAsia" w:ascii="仿宋" w:hAnsi="仿宋" w:eastAsia="仿宋"/>
          <w:b/>
          <w:bCs/>
          <w:color w:val="auto"/>
        </w:rPr>
        <w:t>专项管理情况分析</w:t>
      </w:r>
      <w:bookmarkEnd w:id="21"/>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1、资金到位及使用情况</w:t>
      </w:r>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楷体" w:eastAsia="仿宋_GB2312"/>
          <w:b w:val="0"/>
          <w:color w:val="auto"/>
          <w:spacing w:val="-4"/>
          <w:sz w:val="28"/>
          <w:szCs w:val="28"/>
        </w:rPr>
        <w:t>2</w:t>
      </w:r>
      <w:r>
        <w:rPr>
          <w:rStyle w:val="16"/>
          <w:rFonts w:ascii="仿宋_GB2312" w:hAnsi="楷体" w:eastAsia="仿宋_GB2312"/>
          <w:b w:val="0"/>
          <w:color w:val="auto"/>
          <w:spacing w:val="-4"/>
          <w:sz w:val="28"/>
          <w:szCs w:val="28"/>
        </w:rPr>
        <w:t>021</w:t>
      </w:r>
      <w:r>
        <w:rPr>
          <w:rStyle w:val="16"/>
          <w:rFonts w:hint="eastAsia" w:ascii="仿宋_GB2312" w:hAnsi="楷体" w:eastAsia="仿宋_GB2312"/>
          <w:b w:val="0"/>
          <w:color w:val="auto"/>
          <w:spacing w:val="-4"/>
          <w:sz w:val="28"/>
          <w:szCs w:val="28"/>
        </w:rPr>
        <w:t>年涉及专项资金</w:t>
      </w:r>
      <w:r>
        <w:rPr>
          <w:rStyle w:val="16"/>
          <w:rFonts w:hint="eastAsia" w:ascii="仿宋_GB2312" w:hAnsi="楷体" w:eastAsia="仿宋_GB2312"/>
          <w:b w:val="0"/>
          <w:color w:val="auto"/>
          <w:spacing w:val="-4"/>
          <w:sz w:val="28"/>
          <w:szCs w:val="28"/>
          <w:lang w:val="en-US" w:eastAsia="zh-CN"/>
        </w:rPr>
        <w:t>0.6</w:t>
      </w:r>
      <w:r>
        <w:rPr>
          <w:rStyle w:val="16"/>
          <w:rFonts w:hint="eastAsia" w:ascii="仿宋_GB2312" w:hAnsi="楷体" w:eastAsia="仿宋_GB2312"/>
          <w:b w:val="0"/>
          <w:color w:val="auto"/>
          <w:spacing w:val="-4"/>
          <w:sz w:val="28"/>
          <w:szCs w:val="28"/>
        </w:rPr>
        <w:t>万元，实际到位</w:t>
      </w:r>
      <w:r>
        <w:rPr>
          <w:rStyle w:val="16"/>
          <w:rFonts w:hint="eastAsia" w:ascii="仿宋_GB2312" w:hAnsi="楷体" w:eastAsia="仿宋_GB2312"/>
          <w:b w:val="0"/>
          <w:color w:val="auto"/>
          <w:spacing w:val="-4"/>
          <w:sz w:val="28"/>
          <w:szCs w:val="28"/>
          <w:lang w:val="en-US" w:eastAsia="zh-CN"/>
        </w:rPr>
        <w:t>0.6</w:t>
      </w:r>
      <w:r>
        <w:rPr>
          <w:rStyle w:val="16"/>
          <w:rFonts w:hint="eastAsia" w:ascii="仿宋_GB2312" w:hAnsi="楷体" w:eastAsia="仿宋_GB2312"/>
          <w:b w:val="0"/>
          <w:color w:val="auto"/>
          <w:spacing w:val="-4"/>
          <w:sz w:val="28"/>
          <w:szCs w:val="28"/>
        </w:rPr>
        <w:t>万元，资金到位率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%。截止到</w:t>
      </w: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w:t>
      </w:r>
      <w:r>
        <w:rPr>
          <w:rStyle w:val="16"/>
          <w:rFonts w:hint="eastAsia" w:ascii="仿宋_GB2312" w:hAnsi="楷体" w:eastAsia="仿宋_GB2312"/>
          <w:b w:val="0"/>
          <w:color w:val="auto"/>
          <w:spacing w:val="-4"/>
          <w:sz w:val="28"/>
          <w:szCs w:val="28"/>
          <w:lang w:val="en-US" w:eastAsia="zh-CN"/>
        </w:rPr>
        <w:t>12月31</w:t>
      </w:r>
      <w:r>
        <w:rPr>
          <w:rStyle w:val="16"/>
          <w:rFonts w:hint="eastAsia" w:ascii="仿宋_GB2312" w:hAnsi="楷体" w:eastAsia="仿宋_GB2312"/>
          <w:b w:val="0"/>
          <w:color w:val="auto"/>
          <w:spacing w:val="-4"/>
          <w:sz w:val="28"/>
          <w:szCs w:val="28"/>
        </w:rPr>
        <w:t>日</w:t>
      </w:r>
      <w:r>
        <w:rPr>
          <w:rStyle w:val="16"/>
          <w:rFonts w:hint="eastAsia" w:ascii="仿宋_GB2312" w:hAnsi="楷体" w:eastAsia="仿宋_GB2312"/>
          <w:b w:val="0"/>
          <w:color w:val="auto"/>
          <w:spacing w:val="-4"/>
          <w:sz w:val="28"/>
          <w:szCs w:val="28"/>
          <w:lang w:val="en-US" w:eastAsia="zh-CN"/>
        </w:rPr>
        <w:t>0.6</w:t>
      </w:r>
      <w:r>
        <w:rPr>
          <w:rStyle w:val="16"/>
          <w:rFonts w:hint="eastAsia" w:ascii="仿宋_GB2312" w:hAnsi="楷体" w:eastAsia="仿宋_GB2312"/>
          <w:b w:val="0"/>
          <w:color w:val="auto"/>
          <w:spacing w:val="-4"/>
          <w:sz w:val="28"/>
          <w:szCs w:val="28"/>
        </w:rPr>
        <w:t>万元，执行率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%。其中：20</w:t>
      </w:r>
      <w:r>
        <w:rPr>
          <w:rStyle w:val="16"/>
          <w:rFonts w:ascii="仿宋_GB2312" w:hAnsi="楷体" w:eastAsia="仿宋_GB2312"/>
          <w:b w:val="0"/>
          <w:color w:val="auto"/>
          <w:spacing w:val="-4"/>
          <w:sz w:val="28"/>
          <w:szCs w:val="28"/>
        </w:rPr>
        <w:t>21</w:t>
      </w:r>
      <w:r>
        <w:rPr>
          <w:rStyle w:val="16"/>
          <w:rFonts w:hint="eastAsia" w:ascii="仿宋_GB2312" w:hAnsi="楷体" w:eastAsia="仿宋_GB2312"/>
          <w:b w:val="0"/>
          <w:color w:val="auto"/>
          <w:spacing w:val="-4"/>
          <w:sz w:val="28"/>
          <w:szCs w:val="28"/>
        </w:rPr>
        <w:t>年结转专项资金</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万元，实际执行</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万元，执行率为</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年新增专项资金</w:t>
      </w:r>
      <w:r>
        <w:rPr>
          <w:rStyle w:val="16"/>
          <w:rFonts w:hint="eastAsia" w:ascii="仿宋_GB2312" w:hAnsi="楷体" w:eastAsia="仿宋_GB2312"/>
          <w:b w:val="0"/>
          <w:color w:val="auto"/>
          <w:spacing w:val="-4"/>
          <w:sz w:val="28"/>
          <w:szCs w:val="28"/>
          <w:lang w:val="en-US" w:eastAsia="zh-CN"/>
        </w:rPr>
        <w:t>0.6</w:t>
      </w:r>
      <w:r>
        <w:rPr>
          <w:rStyle w:val="16"/>
          <w:rFonts w:hint="eastAsia" w:ascii="仿宋_GB2312" w:hAnsi="楷体" w:eastAsia="仿宋_GB2312"/>
          <w:b w:val="0"/>
          <w:color w:val="auto"/>
          <w:spacing w:val="-4"/>
          <w:sz w:val="28"/>
          <w:szCs w:val="28"/>
        </w:rPr>
        <w:t>万元，实际执</w:t>
      </w:r>
      <w:r>
        <w:rPr>
          <w:rStyle w:val="16"/>
          <w:rFonts w:hint="eastAsia" w:ascii="仿宋_GB2312" w:hAnsi="楷体" w:eastAsia="仿宋_GB2312"/>
          <w:b w:val="0"/>
          <w:color w:val="auto"/>
          <w:spacing w:val="-4"/>
          <w:sz w:val="28"/>
          <w:szCs w:val="28"/>
          <w:lang w:val="en-US" w:eastAsia="zh-CN"/>
        </w:rPr>
        <w:t>0.6</w:t>
      </w:r>
      <w:r>
        <w:rPr>
          <w:rStyle w:val="16"/>
          <w:rFonts w:hint="eastAsia" w:ascii="仿宋_GB2312" w:hAnsi="楷体" w:eastAsia="仿宋_GB2312"/>
          <w:b w:val="0"/>
          <w:color w:val="auto"/>
          <w:spacing w:val="-4"/>
          <w:sz w:val="28"/>
          <w:szCs w:val="28"/>
        </w:rPr>
        <w:t>万元，执行率为</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2、资金管理情况</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我</w:t>
      </w:r>
      <w:r>
        <w:rPr>
          <w:rStyle w:val="16"/>
          <w:rFonts w:hint="eastAsia" w:ascii="仿宋_GB2312" w:hAnsi="楷体" w:eastAsia="仿宋_GB2312"/>
          <w:b w:val="0"/>
          <w:color w:val="auto"/>
          <w:spacing w:val="-4"/>
          <w:sz w:val="28"/>
          <w:szCs w:val="28"/>
        </w:rPr>
        <w:t>单位严格执行《专项资金管理办法》文件精神要求，加强对专项资金的绩效管理，确保专款专用，提高专项资金使用效益。遵守相关法律法规，严肃财经纪律，自觉接受财政、审计、监察监督检查。</w:t>
      </w:r>
    </w:p>
    <w:p>
      <w:pPr>
        <w:pStyle w:val="5"/>
        <w:numPr>
          <w:ilvl w:val="0"/>
          <w:numId w:val="2"/>
        </w:numPr>
        <w:spacing w:line="360" w:lineRule="auto"/>
        <w:rPr>
          <w:rStyle w:val="16"/>
          <w:rFonts w:ascii="仿宋" w:hAnsi="仿宋" w:eastAsia="仿宋"/>
          <w:b/>
          <w:bCs/>
          <w:color w:val="auto"/>
        </w:rPr>
      </w:pPr>
      <w:r>
        <w:rPr>
          <w:rStyle w:val="16"/>
          <w:rFonts w:hint="eastAsia" w:ascii="仿宋" w:hAnsi="仿宋" w:eastAsia="仿宋"/>
          <w:b/>
          <w:bCs/>
          <w:color w:val="auto"/>
        </w:rPr>
        <w:t>项目实施情况分析</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w:t>
      </w:r>
      <w:r>
        <w:rPr>
          <w:rStyle w:val="16"/>
          <w:rFonts w:ascii="仿宋_GB2312" w:hAnsi="楷体" w:eastAsia="仿宋_GB2312"/>
          <w:b w:val="0"/>
          <w:color w:val="auto"/>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特克斯县卫生计生综合监督执法局</w:t>
      </w:r>
      <w:r>
        <w:rPr>
          <w:rStyle w:val="16"/>
          <w:rFonts w:hint="eastAsia" w:ascii="仿宋_GB2312" w:hAnsi="楷体" w:eastAsia="仿宋_GB2312"/>
          <w:b w:val="0"/>
          <w:color w:val="auto"/>
          <w:spacing w:val="-4"/>
          <w:sz w:val="28"/>
          <w:szCs w:val="28"/>
        </w:rPr>
        <w:t>根据202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个项目的绩效目标及工作内容，将其细化分工至本单位</w:t>
      </w:r>
      <w:r>
        <w:rPr>
          <w:rStyle w:val="16"/>
          <w:rFonts w:hint="eastAsia" w:ascii="仿宋_GB2312" w:hAnsi="楷体" w:eastAsia="仿宋_GB2312"/>
          <w:b w:val="0"/>
          <w:color w:val="auto"/>
          <w:spacing w:val="-4"/>
          <w:sz w:val="28"/>
          <w:szCs w:val="28"/>
          <w:lang w:val="en-US" w:eastAsia="zh-CN"/>
        </w:rPr>
        <w:t>4</w:t>
      </w:r>
      <w:r>
        <w:rPr>
          <w:rStyle w:val="16"/>
          <w:rFonts w:hint="eastAsia" w:ascii="仿宋_GB2312" w:hAnsi="楷体" w:eastAsia="仿宋_GB2312"/>
          <w:b w:val="0"/>
          <w:color w:val="auto"/>
          <w:spacing w:val="-4"/>
          <w:sz w:val="28"/>
          <w:szCs w:val="28"/>
        </w:rPr>
        <w:t>个科室负责人，加强组织领导，明确分工，各司其职，抓好工作目标任务的落实完成，同时年中要求各科室负责人按照年初预算对本科室绩效工作进行自查自评，并报上半年工作情况总结，</w:t>
      </w:r>
      <w:r>
        <w:rPr>
          <w:rStyle w:val="16"/>
          <w:rFonts w:ascii="仿宋_GB2312" w:hAnsi="楷体" w:eastAsia="仿宋_GB2312"/>
          <w:b w:val="0"/>
          <w:color w:val="auto"/>
          <w:spacing w:val="-4"/>
          <w:sz w:val="28"/>
          <w:szCs w:val="28"/>
        </w:rPr>
        <w:t>5</w:t>
      </w:r>
      <w:r>
        <w:rPr>
          <w:rStyle w:val="16"/>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w:t>
      </w:r>
      <w:r>
        <w:rPr>
          <w:rStyle w:val="16"/>
          <w:rFonts w:ascii="仿宋_GB2312" w:hAnsi="楷体" w:eastAsia="仿宋_GB2312"/>
          <w:b w:val="0"/>
          <w:color w:val="auto"/>
          <w:spacing w:val="-4"/>
          <w:sz w:val="28"/>
          <w:szCs w:val="28"/>
        </w:rPr>
        <w:t>、管理情况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特克斯县卫生计生综合监督执法局</w:t>
      </w:r>
      <w:r>
        <w:rPr>
          <w:rStyle w:val="16"/>
          <w:rFonts w:hint="eastAsia" w:ascii="仿宋_GB2312" w:hAnsi="楷体" w:eastAsia="仿宋_GB2312"/>
          <w:b w:val="0"/>
          <w:color w:val="auto"/>
          <w:spacing w:val="-4"/>
          <w:sz w:val="28"/>
          <w:szCs w:val="28"/>
        </w:rPr>
        <w:t>实施的</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3</w:t>
      </w:r>
      <w:r>
        <w:rPr>
          <w:rStyle w:val="16"/>
          <w:rFonts w:ascii="仿宋_GB2312" w:hAnsi="楷体" w:eastAsia="仿宋_GB2312"/>
          <w:b w:val="0"/>
          <w:color w:val="auto"/>
          <w:spacing w:val="-4"/>
          <w:sz w:val="28"/>
          <w:szCs w:val="28"/>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特克斯县卫生计生综合监督执法局</w:t>
      </w: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2"/>
        </w:numPr>
        <w:spacing w:line="360" w:lineRule="auto"/>
        <w:rPr>
          <w:rStyle w:val="16"/>
          <w:rFonts w:ascii="仿宋" w:hAnsi="仿宋" w:eastAsia="仿宋"/>
          <w:b/>
          <w:bCs/>
          <w:color w:val="auto"/>
        </w:rPr>
      </w:pPr>
      <w:r>
        <w:rPr>
          <w:rStyle w:val="16"/>
          <w:rFonts w:hint="eastAsia" w:ascii="仿宋" w:hAnsi="仿宋" w:eastAsia="仿宋"/>
          <w:b/>
          <w:bCs/>
          <w:color w:val="auto"/>
        </w:rPr>
        <w:t>绩效情况分析</w:t>
      </w:r>
    </w:p>
    <w:p>
      <w:pPr>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1</w:t>
      </w:r>
      <w:r>
        <w:rPr>
          <w:rStyle w:val="16"/>
          <w:rFonts w:ascii="仿宋_GB2312" w:hAnsi="楷体" w:eastAsia="仿宋_GB2312"/>
          <w:b w:val="0"/>
          <w:bCs w:val="0"/>
          <w:color w:val="auto"/>
          <w:spacing w:val="-4"/>
          <w:sz w:val="28"/>
          <w:szCs w:val="28"/>
        </w:rPr>
        <w:t>、成本控制情况</w:t>
      </w:r>
    </w:p>
    <w:p>
      <w:pPr>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特克斯县卫生计生综合监督执法局</w:t>
      </w:r>
      <w:r>
        <w:rPr>
          <w:rStyle w:val="16"/>
          <w:rFonts w:hint="eastAsia" w:ascii="仿宋_GB2312" w:hAnsi="楷体" w:eastAsia="仿宋_GB2312"/>
          <w:b w:val="0"/>
          <w:color w:val="auto"/>
          <w:spacing w:val="-4"/>
          <w:sz w:val="28"/>
          <w:szCs w:val="28"/>
        </w:rPr>
        <w:t>所涉及专项项目均已于专项资金下达后按照资金文件及绩效管理要求设置《项目绩效目标表》。</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个专项项目预算总额为</w:t>
      </w:r>
      <w:r>
        <w:rPr>
          <w:rStyle w:val="16"/>
          <w:rFonts w:hint="eastAsia" w:ascii="仿宋_GB2312" w:hAnsi="楷体" w:eastAsia="仿宋_GB2312"/>
          <w:b w:val="0"/>
          <w:color w:val="auto"/>
          <w:spacing w:val="-4"/>
          <w:sz w:val="28"/>
          <w:szCs w:val="28"/>
          <w:lang w:val="en-US" w:eastAsia="zh-CN"/>
        </w:rPr>
        <w:t>0.60</w:t>
      </w:r>
      <w:r>
        <w:rPr>
          <w:rStyle w:val="16"/>
          <w:rFonts w:hint="eastAsia" w:ascii="仿宋_GB2312" w:hAnsi="楷体" w:eastAsia="仿宋_GB2312"/>
          <w:b w:val="0"/>
          <w:color w:val="auto"/>
          <w:spacing w:val="-4"/>
          <w:sz w:val="28"/>
          <w:szCs w:val="28"/>
        </w:rPr>
        <w:t>万元，在项目实施过程中，业务人员加强项目管理，合理控制项目成本，截止项目结束，</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个项目总成本为</w:t>
      </w:r>
      <w:r>
        <w:rPr>
          <w:rStyle w:val="16"/>
          <w:rFonts w:hint="eastAsia" w:ascii="仿宋_GB2312" w:hAnsi="楷体" w:eastAsia="仿宋_GB2312"/>
          <w:b w:val="0"/>
          <w:color w:val="auto"/>
          <w:spacing w:val="-4"/>
          <w:sz w:val="28"/>
          <w:szCs w:val="28"/>
          <w:lang w:val="en-US" w:eastAsia="zh-CN"/>
        </w:rPr>
        <w:t>0.6</w:t>
      </w:r>
      <w:r>
        <w:rPr>
          <w:rStyle w:val="16"/>
          <w:rFonts w:hint="eastAsia" w:ascii="仿宋_GB2312" w:hAnsi="楷体" w:eastAsia="仿宋_GB2312"/>
          <w:b w:val="0"/>
          <w:color w:val="auto"/>
          <w:spacing w:val="-4"/>
          <w:sz w:val="28"/>
          <w:szCs w:val="28"/>
        </w:rPr>
        <w:t>万元，不存在超支情况。</w:t>
      </w:r>
    </w:p>
    <w:p>
      <w:pPr>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2</w:t>
      </w:r>
      <w:r>
        <w:rPr>
          <w:rStyle w:val="16"/>
          <w:rFonts w:ascii="仿宋_GB2312" w:hAnsi="楷体" w:eastAsia="仿宋_GB2312"/>
          <w:b w:val="0"/>
          <w:bCs w:val="0"/>
          <w:color w:val="auto"/>
          <w:spacing w:val="-4"/>
          <w:sz w:val="28"/>
          <w:szCs w:val="28"/>
        </w:rPr>
        <w:t>、成本节约情况</w:t>
      </w:r>
    </w:p>
    <w:p>
      <w:pPr>
        <w:ind w:firstLine="544" w:firstLineChars="200"/>
        <w:rPr>
          <w:rStyle w:val="16"/>
          <w:rFonts w:hint="eastAsia" w:ascii="仿宋_GB2312" w:hAnsi="楷体" w:eastAsia="仿宋_GB2312"/>
          <w:b w:val="0"/>
          <w:color w:val="auto"/>
          <w:spacing w:val="-4"/>
          <w:sz w:val="28"/>
          <w:szCs w:val="28"/>
          <w:lang w:val="en-US" w:eastAsia="zh-CN"/>
        </w:rPr>
      </w:pPr>
      <w:r>
        <w:rPr>
          <w:rStyle w:val="16"/>
          <w:rFonts w:hint="eastAsia" w:ascii="仿宋_GB2312" w:hAnsi="楷体" w:eastAsia="仿宋_GB2312"/>
          <w:b w:val="0"/>
          <w:color w:val="auto"/>
          <w:spacing w:val="-4"/>
          <w:sz w:val="28"/>
          <w:szCs w:val="28"/>
          <w:lang w:val="en-US" w:eastAsia="zh-CN"/>
        </w:rPr>
        <w:t>特克斯县卫生计生综合监督执法局</w:t>
      </w:r>
      <w:r>
        <w:rPr>
          <w:rStyle w:val="16"/>
          <w:rFonts w:hint="eastAsia" w:ascii="仿宋_GB2312" w:hAnsi="楷体" w:eastAsia="仿宋_GB2312"/>
          <w:b w:val="0"/>
          <w:color w:val="auto"/>
          <w:spacing w:val="-4"/>
          <w:sz w:val="28"/>
          <w:szCs w:val="28"/>
        </w:rPr>
        <w:t>所涉及专项项目使用资金比专项项目总预算减少</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w:t>
      </w:r>
      <w:bookmarkStart w:id="22" w:name="_Hlk96097132"/>
      <w:r>
        <w:rPr>
          <w:rStyle w:val="16"/>
          <w:rFonts w:hint="eastAsia" w:ascii="仿宋_GB2312" w:hAnsi="楷体" w:eastAsia="仿宋_GB2312"/>
          <w:b w:val="0"/>
          <w:color w:val="auto"/>
          <w:spacing w:val="-4"/>
          <w:sz w:val="28"/>
          <w:szCs w:val="28"/>
        </w:rPr>
        <w:t>项目节约率</w:t>
      </w:r>
      <w:bookmarkEnd w:id="22"/>
      <w:r>
        <w:rPr>
          <w:rStyle w:val="16"/>
          <w:rFonts w:hint="eastAsia" w:ascii="仿宋_GB2312" w:hAnsi="楷体" w:eastAsia="仿宋_GB2312"/>
          <w:b w:val="0"/>
          <w:color w:val="auto"/>
          <w:spacing w:val="-4"/>
          <w:sz w:val="28"/>
          <w:szCs w:val="28"/>
          <w:lang w:val="en-US" w:eastAsia="zh-CN"/>
        </w:rPr>
        <w:t xml:space="preserve">0 </w:t>
      </w:r>
      <w:r>
        <w:rPr>
          <w:rStyle w:val="16"/>
          <w:rFonts w:hint="eastAsia" w:ascii="仿宋_GB2312" w:hAnsi="楷体" w:eastAsia="仿宋_GB2312"/>
          <w:b w:val="0"/>
          <w:color w:val="auto"/>
          <w:spacing w:val="-4"/>
          <w:sz w:val="28"/>
          <w:szCs w:val="28"/>
        </w:rPr>
        <w:t>%</w:t>
      </w:r>
      <w:r>
        <w:rPr>
          <w:rStyle w:val="16"/>
          <w:rFonts w:hint="eastAsia" w:ascii="仿宋_GB2312" w:hAnsi="楷体" w:eastAsia="仿宋_GB2312"/>
          <w:b w:val="0"/>
          <w:color w:val="auto"/>
          <w:spacing w:val="-4"/>
          <w:sz w:val="28"/>
          <w:szCs w:val="28"/>
          <w:lang w:val="en-US" w:eastAsia="zh-CN"/>
        </w:rPr>
        <w:t>.</w:t>
      </w:r>
    </w:p>
    <w:p>
      <w:pPr>
        <w:pStyle w:val="5"/>
        <w:numPr>
          <w:ilvl w:val="0"/>
          <w:numId w:val="2"/>
        </w:numPr>
        <w:spacing w:line="360" w:lineRule="auto"/>
        <w:rPr>
          <w:rStyle w:val="16"/>
          <w:rFonts w:hint="eastAsia" w:ascii="仿宋" w:hAnsi="仿宋" w:eastAsia="仿宋"/>
          <w:b/>
          <w:bCs/>
          <w:color w:val="auto"/>
        </w:rPr>
      </w:pPr>
      <w:r>
        <w:rPr>
          <w:rStyle w:val="16"/>
          <w:rFonts w:hint="eastAsia" w:ascii="仿宋" w:hAnsi="仿宋" w:eastAsia="仿宋"/>
          <w:b/>
          <w:bCs/>
          <w:color w:val="auto"/>
        </w:rPr>
        <w:t>项目效率性分析</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1、实施进度</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w:t>
      </w:r>
      <w:r>
        <w:rPr>
          <w:rStyle w:val="16"/>
          <w:rFonts w:hint="eastAsia" w:ascii="仿宋_GB2312" w:hAnsi="楷体" w:eastAsia="仿宋_GB2312"/>
          <w:b w:val="0"/>
          <w:color w:val="auto"/>
          <w:spacing w:val="-4"/>
          <w:sz w:val="28"/>
          <w:szCs w:val="28"/>
          <w:lang w:val="en-US" w:eastAsia="zh-CN"/>
        </w:rPr>
        <w:t>特克斯县卫生计生综合监督执法局</w:t>
      </w:r>
      <w:r>
        <w:rPr>
          <w:rStyle w:val="16"/>
          <w:rFonts w:hint="eastAsia" w:ascii="仿宋_GB2312" w:hAnsi="楷体" w:eastAsia="仿宋_GB2312"/>
          <w:b w:val="0"/>
          <w:color w:val="auto"/>
          <w:spacing w:val="-4"/>
          <w:sz w:val="28"/>
          <w:szCs w:val="28"/>
        </w:rPr>
        <w:t>共涉及专项项目</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个，截止到202</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年底，通过专项项目实施过程中的有效监督，我单位按预期完成了</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个专项的各项专项任务，项目总体完成率为</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2、完成质量</w:t>
      </w:r>
    </w:p>
    <w:p>
      <w:pPr>
        <w:spacing w:line="360" w:lineRule="auto"/>
        <w:ind w:firstLine="544" w:firstLineChars="200"/>
        <w:rPr>
          <w:rStyle w:val="16"/>
          <w:rFonts w:hint="eastAsia" w:ascii="仿宋_GB2312" w:hAnsi="楷体" w:eastAsia="仿宋_GB2312"/>
          <w:b w:val="0"/>
          <w:color w:val="auto"/>
          <w:spacing w:val="-4"/>
          <w:sz w:val="28"/>
          <w:szCs w:val="28"/>
        </w:rPr>
      </w:pPr>
      <w:bookmarkStart w:id="23" w:name="_Hlk96100380"/>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个专项项目完成质量情况如下：</w:t>
      </w:r>
      <w:bookmarkEnd w:id="23"/>
    </w:p>
    <w:p>
      <w:pPr>
        <w:spacing w:line="360" w:lineRule="auto"/>
        <w:ind w:firstLine="544" w:firstLineChars="200"/>
        <w:rPr>
          <w:rStyle w:val="16"/>
          <w:rFonts w:hint="eastAsia" w:ascii="仿宋_GB2312" w:hAnsi="楷体" w:eastAsia="仿宋_GB2312"/>
          <w:b w:val="0"/>
          <w:color w:val="auto"/>
          <w:spacing w:val="-4"/>
          <w:sz w:val="28"/>
          <w:szCs w:val="28"/>
          <w:highlight w:val="yellow"/>
          <w:lang w:val="en-US" w:eastAsia="zh-CN"/>
        </w:rPr>
      </w:pPr>
      <w:r>
        <w:rPr>
          <w:rStyle w:val="16"/>
          <w:rFonts w:hint="eastAsia" w:ascii="仿宋_GB2312" w:hAnsi="楷体" w:eastAsia="仿宋_GB2312"/>
          <w:b w:val="0"/>
          <w:color w:val="auto"/>
          <w:spacing w:val="-4"/>
          <w:sz w:val="28"/>
          <w:szCs w:val="28"/>
          <w:highlight w:val="none"/>
          <w:lang w:val="en-US" w:eastAsia="zh-CN"/>
        </w:rPr>
        <w:t>1、基本公共卫生服务项目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w:t>
      </w:r>
    </w:p>
    <w:p>
      <w:pPr>
        <w:pStyle w:val="5"/>
        <w:numPr>
          <w:ilvl w:val="0"/>
          <w:numId w:val="2"/>
        </w:numPr>
        <w:spacing w:line="360" w:lineRule="auto"/>
        <w:rPr>
          <w:rStyle w:val="16"/>
          <w:rFonts w:ascii="仿宋" w:hAnsi="仿宋" w:eastAsia="仿宋"/>
          <w:b/>
          <w:bCs/>
          <w:highlight w:val="none"/>
        </w:rPr>
      </w:pPr>
      <w:r>
        <w:rPr>
          <w:rStyle w:val="16"/>
          <w:rFonts w:hint="eastAsia" w:ascii="仿宋" w:hAnsi="仿宋" w:eastAsia="仿宋"/>
          <w:b/>
          <w:bCs/>
          <w:highlight w:val="none"/>
        </w:rPr>
        <w:t>项目效益性分析</w:t>
      </w:r>
    </w:p>
    <w:p>
      <w:pPr>
        <w:ind w:firstLine="544" w:firstLineChars="200"/>
        <w:rPr>
          <w:rStyle w:val="16"/>
          <w:rFonts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lang w:val="en-US" w:eastAsia="zh-CN"/>
        </w:rPr>
        <w:t>1</w:t>
      </w:r>
      <w:r>
        <w:rPr>
          <w:rStyle w:val="16"/>
          <w:rFonts w:hint="eastAsia" w:ascii="仿宋_GB2312" w:hAnsi="楷体" w:eastAsia="仿宋_GB2312"/>
          <w:b w:val="0"/>
          <w:bCs w:val="0"/>
          <w:color w:val="auto"/>
          <w:spacing w:val="-4"/>
          <w:sz w:val="28"/>
          <w:szCs w:val="28"/>
          <w:highlight w:val="none"/>
        </w:rPr>
        <w:t>个专项项目预期目标完成程度、实施对经济和社会的影响如下：</w:t>
      </w:r>
    </w:p>
    <w:p>
      <w:pPr>
        <w:numPr>
          <w:ilvl w:val="0"/>
          <w:numId w:val="3"/>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基本公共卫生项目促进基本公共卫生服务逐步均等化的重要内容，是深化医药卫生体制改革的重要工作。</w:t>
      </w:r>
    </w:p>
    <w:p>
      <w:pPr>
        <w:ind w:firstLine="544" w:firstLineChars="200"/>
        <w:rPr>
          <w:rStyle w:val="16"/>
          <w:rFonts w:hint="eastAsia" w:ascii="仿宋_GB2312" w:hAnsi="楷体" w:eastAsia="仿宋_GB2312"/>
          <w:b w:val="0"/>
          <w:bCs w:val="0"/>
          <w:color w:val="auto"/>
          <w:spacing w:val="-4"/>
          <w:sz w:val="28"/>
          <w:szCs w:val="28"/>
        </w:rPr>
      </w:pPr>
    </w:p>
    <w:p>
      <w:pPr>
        <w:ind w:firstLine="544" w:firstLineChars="200"/>
        <w:rPr>
          <w:rStyle w:val="16"/>
          <w:rFonts w:hint="eastAsia" w:ascii="仿宋_GB2312" w:hAnsi="楷体" w:eastAsia="仿宋_GB2312"/>
          <w:b w:val="0"/>
          <w:bCs w:val="0"/>
          <w:color w:val="FFFFFF" w:themeColor="background1"/>
          <w:spacing w:val="-4"/>
          <w:sz w:val="28"/>
          <w:szCs w:val="28"/>
          <w14:textFill>
            <w14:solidFill>
              <w14:schemeClr w14:val="bg1"/>
            </w14:solidFill>
          </w14:textFill>
        </w:rPr>
      </w:pPr>
    </w:p>
    <w:p>
      <w:pPr>
        <w:rPr>
          <w:rFonts w:hint="eastAsia"/>
          <w:color w:val="auto"/>
        </w:rPr>
      </w:pPr>
    </w:p>
    <w:p>
      <w:pPr>
        <w:pStyle w:val="3"/>
        <w:spacing w:line="360" w:lineRule="auto"/>
        <w:rPr>
          <w:rFonts w:ascii="仿宋" w:hAnsi="仿宋" w:eastAsia="仿宋"/>
          <w:color w:val="auto"/>
          <w:sz w:val="36"/>
          <w:szCs w:val="36"/>
          <w:lang w:bidi="ar"/>
        </w:rPr>
      </w:pPr>
      <w:bookmarkStart w:id="24" w:name="_Toc70450310"/>
      <w:r>
        <w:rPr>
          <w:rFonts w:hint="eastAsia" w:ascii="仿宋" w:hAnsi="仿宋" w:eastAsia="仿宋"/>
          <w:color w:val="auto"/>
          <w:sz w:val="36"/>
          <w:szCs w:val="36"/>
          <w:lang w:bidi="ar"/>
        </w:rPr>
        <w:t>四、资产管理情况</w:t>
      </w:r>
      <w:bookmarkEnd w:id="24"/>
    </w:p>
    <w:p>
      <w:pPr>
        <w:pStyle w:val="4"/>
        <w:spacing w:line="360" w:lineRule="auto"/>
        <w:rPr>
          <w:rStyle w:val="16"/>
          <w:rFonts w:hint="eastAsia" w:ascii="仿宋_GB2312" w:hAnsi="楷体" w:eastAsia="仿宋_GB2312" w:cstheme="minorBidi"/>
          <w:b w:val="0"/>
          <w:bCs w:val="0"/>
          <w:color w:val="auto"/>
          <w:spacing w:val="-4"/>
          <w:kern w:val="2"/>
          <w:sz w:val="28"/>
          <w:szCs w:val="28"/>
          <w:lang w:val="en-US" w:eastAsia="zh-CN" w:bidi="ar-SA"/>
        </w:rPr>
      </w:pPr>
      <w:bookmarkStart w:id="25" w:name="_Toc70450311"/>
      <w:r>
        <w:rPr>
          <w:rStyle w:val="16"/>
          <w:rFonts w:hint="eastAsia" w:ascii="仿宋" w:hAnsi="仿宋" w:eastAsia="仿宋"/>
          <w:b/>
          <w:bCs/>
          <w:color w:val="auto"/>
        </w:rPr>
        <w:t>（</w:t>
      </w:r>
      <w:r>
        <w:rPr>
          <w:rStyle w:val="16"/>
          <w:rFonts w:hint="eastAsia" w:ascii="仿宋_GB2312" w:hAnsi="楷体" w:eastAsia="仿宋_GB2312" w:cstheme="minorBidi"/>
          <w:b w:val="0"/>
          <w:bCs w:val="0"/>
          <w:color w:val="auto"/>
          <w:spacing w:val="-4"/>
          <w:kern w:val="2"/>
          <w:sz w:val="28"/>
          <w:szCs w:val="28"/>
          <w:lang w:val="en-US" w:eastAsia="zh-CN" w:bidi="ar-SA"/>
        </w:rPr>
        <w:t>一）资产配置情况</w:t>
      </w:r>
      <w:bookmarkEnd w:id="25"/>
    </w:p>
    <w:p>
      <w:pPr>
        <w:spacing w:line="360" w:lineRule="auto"/>
        <w:ind w:firstLine="544" w:firstLineChars="200"/>
        <w:rPr>
          <w:rStyle w:val="16"/>
          <w:rFonts w:hint="eastAsia" w:ascii="仿宋_GB2312" w:hAnsi="楷体" w:eastAsia="仿宋_GB2312" w:cstheme="minorBidi"/>
          <w:b w:val="0"/>
          <w:bCs w:val="0"/>
          <w:color w:val="auto"/>
          <w:spacing w:val="-4"/>
          <w:kern w:val="2"/>
          <w:sz w:val="28"/>
          <w:szCs w:val="28"/>
          <w:lang w:val="en-US" w:eastAsia="zh-CN" w:bidi="ar-SA"/>
        </w:rPr>
      </w:pPr>
      <w:r>
        <w:rPr>
          <w:rStyle w:val="16"/>
          <w:rFonts w:hint="eastAsia" w:ascii="仿宋_GB2312" w:hAnsi="楷体" w:eastAsia="仿宋_GB2312" w:cstheme="minorBidi"/>
          <w:b w:val="0"/>
          <w:bCs w:val="0"/>
          <w:color w:val="auto"/>
          <w:spacing w:val="-4"/>
          <w:kern w:val="2"/>
          <w:sz w:val="28"/>
          <w:szCs w:val="28"/>
          <w:lang w:val="en-US" w:eastAsia="zh-CN" w:bidi="ar-SA"/>
        </w:rPr>
        <w:t>2021年我部门资产总额11.71万元，其中流动资产0.27万元，固定资产净值16.71万元（其中：土地、房屋及构筑物0万元，占固定资产净值的0%；通用设备9.06万元，占固定资产净值的54.22%；专用设备1.75万元，占固定资产净值的10.47%；其他5.9万元）。</w:t>
      </w:r>
    </w:p>
    <w:p>
      <w:pPr>
        <w:spacing w:line="360" w:lineRule="auto"/>
        <w:ind w:firstLine="544" w:firstLineChars="200"/>
        <w:rPr>
          <w:rStyle w:val="16"/>
          <w:rFonts w:hint="eastAsia" w:ascii="仿宋_GB2312" w:hAnsi="楷体" w:eastAsia="仿宋_GB2312" w:cstheme="minorBidi"/>
          <w:b w:val="0"/>
          <w:bCs w:val="0"/>
          <w:color w:val="auto"/>
          <w:spacing w:val="-4"/>
          <w:kern w:val="2"/>
          <w:sz w:val="28"/>
          <w:szCs w:val="28"/>
          <w:lang w:val="en-US" w:eastAsia="zh-CN" w:bidi="ar-SA"/>
        </w:rPr>
      </w:pPr>
      <w:r>
        <w:rPr>
          <w:rStyle w:val="16"/>
          <w:rFonts w:hint="eastAsia" w:ascii="仿宋_GB2312" w:hAnsi="楷体" w:eastAsia="仿宋_GB2312" w:cstheme="minorBidi"/>
          <w:b w:val="0"/>
          <w:bCs w:val="0"/>
          <w:color w:val="auto"/>
          <w:spacing w:val="-4"/>
          <w:kern w:val="2"/>
          <w:sz w:val="28"/>
          <w:szCs w:val="28"/>
          <w:lang w:val="en-US" w:eastAsia="zh-CN" w:bidi="ar-SA"/>
        </w:rPr>
        <w:t>本年度流动资产0万元，比上年增加0万元，原因是：上年度未填报资产配置情况。</w:t>
      </w:r>
    </w:p>
    <w:p>
      <w:pPr>
        <w:snapToGrid w:val="0"/>
        <w:spacing w:line="360" w:lineRule="auto"/>
        <w:ind w:firstLine="544" w:firstLineChars="200"/>
        <w:rPr>
          <w:rStyle w:val="16"/>
          <w:rFonts w:hint="eastAsia" w:ascii="仿宋_GB2312" w:hAnsi="楷体" w:eastAsia="仿宋_GB2312" w:cstheme="minorBidi"/>
          <w:b w:val="0"/>
          <w:bCs w:val="0"/>
          <w:color w:val="auto"/>
          <w:spacing w:val="-4"/>
          <w:kern w:val="2"/>
          <w:sz w:val="28"/>
          <w:szCs w:val="28"/>
          <w:lang w:val="en-US" w:eastAsia="zh-CN" w:bidi="ar-SA"/>
        </w:rPr>
      </w:pPr>
      <w:r>
        <w:rPr>
          <w:rStyle w:val="16"/>
          <w:rFonts w:hint="eastAsia" w:ascii="仿宋_GB2312" w:hAnsi="楷体" w:eastAsia="仿宋_GB2312" w:cstheme="minorBidi"/>
          <w:b w:val="0"/>
          <w:bCs w:val="0"/>
          <w:color w:val="auto"/>
          <w:spacing w:val="-4"/>
          <w:kern w:val="2"/>
          <w:sz w:val="28"/>
          <w:szCs w:val="28"/>
          <w:lang w:val="en-US" w:eastAsia="zh-CN" w:bidi="ar-SA"/>
        </w:rPr>
        <w:t>本年度固定资产16.71万元，比上年增加0万元，原因是：上年度未填报资产配置情况</w:t>
      </w:r>
    </w:p>
    <w:p>
      <w:pPr>
        <w:snapToGrid w:val="0"/>
        <w:spacing w:line="360" w:lineRule="auto"/>
        <w:ind w:firstLine="544" w:firstLineChars="200"/>
        <w:rPr>
          <w:rStyle w:val="16"/>
          <w:rFonts w:hint="eastAsia" w:ascii="仿宋_GB2312" w:hAnsi="楷体" w:eastAsia="仿宋_GB2312" w:cstheme="minorBidi"/>
          <w:b w:val="0"/>
          <w:bCs w:val="0"/>
          <w:color w:val="auto"/>
          <w:spacing w:val="-4"/>
          <w:kern w:val="2"/>
          <w:sz w:val="28"/>
          <w:szCs w:val="28"/>
          <w:lang w:val="en-US" w:eastAsia="zh-CN" w:bidi="ar-SA"/>
        </w:rPr>
      </w:pPr>
      <w:r>
        <w:rPr>
          <w:rStyle w:val="16"/>
          <w:rFonts w:hint="eastAsia" w:ascii="仿宋_GB2312" w:hAnsi="楷体" w:eastAsia="仿宋_GB2312" w:cstheme="minorBidi"/>
          <w:b w:val="0"/>
          <w:bCs w:val="0"/>
          <w:color w:val="auto"/>
          <w:spacing w:val="-4"/>
          <w:kern w:val="2"/>
          <w:sz w:val="28"/>
          <w:szCs w:val="28"/>
          <w:lang w:val="en-US" w:eastAsia="zh-CN" w:bidi="ar-SA"/>
        </w:rPr>
        <w:t>实际在用固定资产16.71万元，固定资产利用率100%。</w:t>
      </w:r>
    </w:p>
    <w:p>
      <w:pPr>
        <w:pStyle w:val="4"/>
        <w:spacing w:line="360" w:lineRule="auto"/>
        <w:rPr>
          <w:rStyle w:val="16"/>
          <w:rFonts w:ascii="仿宋" w:hAnsi="仿宋" w:eastAsia="仿宋"/>
          <w:b/>
          <w:bCs/>
          <w:color w:val="auto"/>
        </w:rPr>
      </w:pPr>
      <w:bookmarkStart w:id="26" w:name="_Toc70450312"/>
      <w:r>
        <w:rPr>
          <w:rStyle w:val="16"/>
          <w:rFonts w:hint="eastAsia" w:ascii="仿宋" w:hAnsi="仿宋" w:eastAsia="仿宋"/>
          <w:b/>
          <w:bCs/>
          <w:color w:val="auto"/>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color w:val="auto"/>
          <w:spacing w:val="-4"/>
          <w:sz w:val="28"/>
          <w:szCs w:val="28"/>
        </w:rPr>
      </w:pPr>
    </w:p>
    <w:p>
      <w:pPr>
        <w:pStyle w:val="3"/>
        <w:spacing w:line="360" w:lineRule="auto"/>
        <w:rPr>
          <w:rFonts w:ascii="仿宋" w:hAnsi="仿宋" w:eastAsia="仿宋"/>
          <w:color w:val="auto"/>
          <w:sz w:val="36"/>
          <w:szCs w:val="36"/>
          <w:lang w:bidi="ar"/>
        </w:rPr>
      </w:pPr>
      <w:bookmarkStart w:id="27" w:name="_Toc70450313"/>
      <w:r>
        <w:rPr>
          <w:rFonts w:hint="eastAsia" w:ascii="仿宋" w:hAnsi="仿宋" w:eastAsia="仿宋"/>
          <w:color w:val="auto"/>
          <w:sz w:val="36"/>
          <w:szCs w:val="36"/>
          <w:lang w:bidi="ar"/>
        </w:rPr>
        <w:t>五、部门单位整体支出绩效情况</w:t>
      </w:r>
      <w:bookmarkEnd w:id="27"/>
    </w:p>
    <w:p>
      <w:pPr>
        <w:pStyle w:val="4"/>
        <w:spacing w:line="360" w:lineRule="auto"/>
        <w:ind w:firstLine="643" w:firstLineChars="200"/>
        <w:rPr>
          <w:rStyle w:val="16"/>
          <w:rFonts w:ascii="仿宋" w:hAnsi="仿宋" w:eastAsia="仿宋"/>
          <w:b/>
          <w:bCs/>
          <w:color w:val="auto"/>
        </w:rPr>
      </w:pPr>
      <w:bookmarkStart w:id="28" w:name="_Toc70450314"/>
      <w:r>
        <w:rPr>
          <w:rStyle w:val="16"/>
          <w:rFonts w:hint="eastAsia" w:ascii="仿宋" w:hAnsi="仿宋" w:eastAsia="仿宋"/>
          <w:b/>
          <w:bCs/>
          <w:color w:val="auto"/>
        </w:rPr>
        <w:t>（一）经济效益评价</w:t>
      </w:r>
      <w:bookmarkEnd w:id="28"/>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年度我单位年初预算安排</w:t>
      </w:r>
      <w:r>
        <w:rPr>
          <w:rStyle w:val="16"/>
          <w:rFonts w:hint="eastAsia" w:ascii="仿宋_GB2312" w:hAnsi="宋体" w:eastAsia="仿宋_GB2312"/>
          <w:b w:val="0"/>
          <w:bCs w:val="0"/>
          <w:color w:val="auto"/>
          <w:spacing w:val="-4"/>
          <w:sz w:val="28"/>
          <w:szCs w:val="28"/>
          <w:lang w:val="en-US" w:eastAsia="zh-CN"/>
        </w:rPr>
        <w:t>131.37</w:t>
      </w:r>
      <w:r>
        <w:rPr>
          <w:rStyle w:val="16"/>
          <w:rFonts w:hint="eastAsia" w:ascii="仿宋_GB2312" w:hAnsi="宋体" w:eastAsia="仿宋_GB2312"/>
          <w:b w:val="0"/>
          <w:bCs w:val="0"/>
          <w:color w:val="auto"/>
          <w:spacing w:val="-4"/>
          <w:sz w:val="28"/>
          <w:szCs w:val="28"/>
        </w:rPr>
        <w:t>万元，年中调整</w:t>
      </w:r>
      <w:r>
        <w:rPr>
          <w:rStyle w:val="16"/>
          <w:rFonts w:hint="eastAsia" w:ascii="仿宋_GB2312" w:hAnsi="宋体" w:eastAsia="仿宋_GB2312"/>
          <w:b w:val="0"/>
          <w:bCs w:val="0"/>
          <w:color w:val="auto"/>
          <w:spacing w:val="-4"/>
          <w:sz w:val="28"/>
          <w:szCs w:val="28"/>
          <w:lang w:val="en-US" w:eastAsia="zh-CN"/>
        </w:rPr>
        <w:t>32.60</w:t>
      </w:r>
      <w:r>
        <w:rPr>
          <w:rStyle w:val="16"/>
          <w:rFonts w:hint="eastAsia" w:ascii="仿宋_GB2312" w:hAnsi="宋体" w:eastAsia="仿宋_GB2312"/>
          <w:b w:val="0"/>
          <w:bCs w:val="0"/>
          <w:color w:val="auto"/>
          <w:spacing w:val="-4"/>
          <w:sz w:val="28"/>
          <w:szCs w:val="28"/>
        </w:rPr>
        <w:t>万元，截止12月底支出</w:t>
      </w:r>
      <w:r>
        <w:rPr>
          <w:rStyle w:val="16"/>
          <w:rFonts w:hint="eastAsia" w:ascii="仿宋_GB2312" w:hAnsi="宋体" w:eastAsia="仿宋_GB2312"/>
          <w:b w:val="0"/>
          <w:bCs w:val="0"/>
          <w:color w:val="auto"/>
          <w:spacing w:val="-4"/>
          <w:sz w:val="28"/>
          <w:szCs w:val="28"/>
          <w:lang w:val="en-US" w:eastAsia="zh-CN"/>
        </w:rPr>
        <w:t>163.97</w:t>
      </w:r>
      <w:r>
        <w:rPr>
          <w:rStyle w:val="16"/>
          <w:rFonts w:hint="eastAsia" w:ascii="仿宋_GB2312" w:hAnsi="宋体" w:eastAsia="仿宋_GB2312"/>
          <w:b w:val="0"/>
          <w:bCs w:val="0"/>
          <w:color w:val="auto"/>
          <w:spacing w:val="-4"/>
          <w:sz w:val="28"/>
          <w:szCs w:val="28"/>
        </w:rPr>
        <w:t>万元，执行率</w:t>
      </w:r>
      <w:r>
        <w:rPr>
          <w:rStyle w:val="16"/>
          <w:rFonts w:hint="eastAsia" w:ascii="仿宋_GB2312" w:hAnsi="宋体" w:eastAsia="仿宋_GB2312"/>
          <w:b w:val="0"/>
          <w:bCs w:val="0"/>
          <w:color w:val="auto"/>
          <w:spacing w:val="-4"/>
          <w:sz w:val="28"/>
          <w:szCs w:val="28"/>
          <w:lang w:val="en-US" w:eastAsia="zh-CN"/>
        </w:rPr>
        <w:t>100</w:t>
      </w:r>
      <w:r>
        <w:rPr>
          <w:rStyle w:val="16"/>
          <w:rFonts w:hint="eastAsia" w:ascii="仿宋_GB2312" w:hAnsi="宋体" w:eastAsia="仿宋_GB2312"/>
          <w:b w:val="0"/>
          <w:bCs w:val="0"/>
          <w:color w:val="auto"/>
          <w:spacing w:val="-4"/>
          <w:sz w:val="28"/>
          <w:szCs w:val="28"/>
        </w:rPr>
        <w:t>%。</w:t>
      </w:r>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ascii="仿宋_GB2312" w:hAnsi="宋体" w:eastAsia="仿宋_GB2312"/>
          <w:b w:val="0"/>
          <w:bCs w:val="0"/>
          <w:color w:val="auto"/>
          <w:spacing w:val="-4"/>
          <w:sz w:val="28"/>
          <w:szCs w:val="28"/>
        </w:rPr>
        <w:t>1</w:t>
      </w:r>
      <w:r>
        <w:rPr>
          <w:rStyle w:val="16"/>
          <w:rFonts w:hint="eastAsia" w:ascii="仿宋_GB2312" w:hAnsi="宋体" w:eastAsia="仿宋_GB2312"/>
          <w:b w:val="0"/>
          <w:bCs w:val="0"/>
          <w:color w:val="auto"/>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ascii="仿宋_GB2312" w:hAnsi="宋体" w:eastAsia="仿宋_GB2312"/>
          <w:b w:val="0"/>
          <w:bCs w:val="0"/>
          <w:color w:val="auto"/>
          <w:spacing w:val="-4"/>
          <w:sz w:val="28"/>
          <w:szCs w:val="28"/>
        </w:rPr>
        <w:t>2</w:t>
      </w:r>
      <w:r>
        <w:rPr>
          <w:rStyle w:val="16"/>
          <w:rFonts w:hint="eastAsia" w:ascii="仿宋_GB2312" w:hAnsi="宋体" w:eastAsia="仿宋_GB2312"/>
          <w:b w:val="0"/>
          <w:bCs w:val="0"/>
          <w:color w:val="auto"/>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color w:val="auto"/>
        </w:rPr>
      </w:pPr>
      <w:bookmarkStart w:id="29" w:name="_Toc70450315"/>
      <w:r>
        <w:rPr>
          <w:rStyle w:val="16"/>
          <w:rFonts w:hint="eastAsia" w:ascii="仿宋" w:hAnsi="仿宋" w:eastAsia="仿宋"/>
          <w:b/>
          <w:bCs/>
          <w:color w:val="auto"/>
        </w:rPr>
        <w:t>（二）效率性评价</w:t>
      </w:r>
      <w:bookmarkEnd w:id="29"/>
    </w:p>
    <w:p>
      <w:pPr>
        <w:spacing w:line="360" w:lineRule="auto"/>
        <w:ind w:firstLine="544" w:firstLineChars="200"/>
        <w:rPr>
          <w:rStyle w:val="16"/>
          <w:rFonts w:hint="eastAsia"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年，在</w:t>
      </w:r>
      <w:r>
        <w:rPr>
          <w:rStyle w:val="16"/>
          <w:rFonts w:hint="eastAsia" w:ascii="仿宋_GB2312" w:hAnsi="宋体" w:eastAsia="仿宋_GB2312"/>
          <w:b w:val="0"/>
          <w:bCs w:val="0"/>
          <w:color w:val="auto"/>
          <w:spacing w:val="-4"/>
          <w:sz w:val="28"/>
          <w:szCs w:val="28"/>
          <w:lang w:val="en-US" w:eastAsia="zh-CN"/>
        </w:rPr>
        <w:t>县财政</w:t>
      </w:r>
      <w:r>
        <w:rPr>
          <w:rStyle w:val="16"/>
          <w:rFonts w:hint="eastAsia" w:ascii="仿宋_GB2312" w:hAnsi="宋体" w:eastAsia="仿宋_GB2312"/>
          <w:b w:val="0"/>
          <w:bCs w:val="0"/>
          <w:color w:val="auto"/>
          <w:spacing w:val="-4"/>
          <w:sz w:val="28"/>
          <w:szCs w:val="28"/>
        </w:rPr>
        <w:t>的大力支持和</w:t>
      </w:r>
      <w:r>
        <w:rPr>
          <w:rStyle w:val="16"/>
          <w:rFonts w:hint="eastAsia" w:ascii="仿宋_GB2312" w:hAnsi="宋体" w:eastAsia="仿宋_GB2312"/>
          <w:b w:val="0"/>
          <w:bCs w:val="0"/>
          <w:color w:val="auto"/>
          <w:spacing w:val="-4"/>
          <w:sz w:val="28"/>
          <w:szCs w:val="28"/>
          <w:lang w:val="en-US" w:eastAsia="zh-CN"/>
        </w:rPr>
        <w:t>单位领导</w:t>
      </w:r>
      <w:r>
        <w:rPr>
          <w:rStyle w:val="16"/>
          <w:rFonts w:hint="eastAsia" w:ascii="仿宋_GB2312" w:hAnsi="宋体" w:eastAsia="仿宋_GB2312"/>
          <w:b w:val="0"/>
          <w:bCs w:val="0"/>
          <w:color w:val="auto"/>
          <w:spacing w:val="-4"/>
          <w:sz w:val="28"/>
          <w:szCs w:val="28"/>
        </w:rPr>
        <w:t>的正确领导下，我</w:t>
      </w:r>
      <w:r>
        <w:rPr>
          <w:rStyle w:val="16"/>
          <w:rFonts w:hint="eastAsia" w:ascii="仿宋_GB2312" w:hAnsi="楷体" w:eastAsia="仿宋_GB2312"/>
          <w:b w:val="0"/>
          <w:color w:val="auto"/>
          <w:spacing w:val="-4"/>
          <w:sz w:val="28"/>
          <w:szCs w:val="28"/>
        </w:rPr>
        <w:t>单位</w:t>
      </w:r>
      <w:r>
        <w:rPr>
          <w:rStyle w:val="16"/>
          <w:rFonts w:hint="eastAsia" w:ascii="仿宋_GB2312" w:hAnsi="宋体" w:eastAsia="仿宋_GB2312"/>
          <w:b w:val="0"/>
          <w:bCs w:val="0"/>
          <w:color w:val="auto"/>
          <w:spacing w:val="-4"/>
          <w:sz w:val="28"/>
          <w:szCs w:val="28"/>
        </w:rPr>
        <w:t>迎难而上、务实重干，积极推动各项</w:t>
      </w:r>
      <w:r>
        <w:rPr>
          <w:rStyle w:val="16"/>
          <w:rFonts w:hint="eastAsia" w:ascii="仿宋_GB2312" w:hAnsi="宋体" w:eastAsia="仿宋_GB2312"/>
          <w:b w:val="0"/>
          <w:bCs w:val="0"/>
          <w:color w:val="auto"/>
          <w:spacing w:val="-4"/>
          <w:sz w:val="28"/>
          <w:szCs w:val="28"/>
          <w:lang w:val="en-US" w:eastAsia="zh-CN"/>
        </w:rPr>
        <w:t>医疗卫生</w:t>
      </w:r>
      <w:r>
        <w:rPr>
          <w:rStyle w:val="16"/>
          <w:rFonts w:hint="eastAsia" w:ascii="仿宋_GB2312" w:hAnsi="宋体" w:eastAsia="仿宋_GB2312"/>
          <w:b w:val="0"/>
          <w:bCs w:val="0"/>
          <w:color w:val="auto"/>
          <w:spacing w:val="-4"/>
          <w:sz w:val="28"/>
          <w:szCs w:val="28"/>
        </w:rPr>
        <w:t>工作取得了新的进展，为促进经济持续健康发展与社会和谐稳定提供了有力的</w:t>
      </w:r>
      <w:r>
        <w:rPr>
          <w:rStyle w:val="16"/>
          <w:rFonts w:hint="eastAsia" w:ascii="仿宋_GB2312" w:hAnsi="宋体" w:eastAsia="仿宋_GB2312"/>
          <w:b w:val="0"/>
          <w:bCs w:val="0"/>
          <w:color w:val="auto"/>
          <w:spacing w:val="-4"/>
          <w:sz w:val="28"/>
          <w:szCs w:val="28"/>
          <w:lang w:val="en-US" w:eastAsia="zh-CN"/>
        </w:rPr>
        <w:t>财政</w:t>
      </w:r>
      <w:r>
        <w:rPr>
          <w:rStyle w:val="16"/>
          <w:rFonts w:hint="eastAsia" w:ascii="仿宋_GB2312" w:hAnsi="宋体" w:eastAsia="仿宋_GB2312"/>
          <w:b w:val="0"/>
          <w:bCs w:val="0"/>
          <w:color w:val="auto"/>
          <w:spacing w:val="-4"/>
          <w:sz w:val="28"/>
          <w:szCs w:val="28"/>
        </w:rPr>
        <w:t>支撑和</w:t>
      </w:r>
      <w:r>
        <w:rPr>
          <w:rStyle w:val="16"/>
          <w:rFonts w:hint="eastAsia" w:ascii="仿宋_GB2312" w:hAnsi="宋体" w:eastAsia="仿宋_GB2312"/>
          <w:b w:val="0"/>
          <w:bCs w:val="0"/>
          <w:color w:val="auto"/>
          <w:spacing w:val="-4"/>
          <w:sz w:val="28"/>
          <w:szCs w:val="28"/>
          <w:lang w:val="en-US" w:eastAsia="zh-CN"/>
        </w:rPr>
        <w:t>医疗</w:t>
      </w:r>
      <w:r>
        <w:rPr>
          <w:rStyle w:val="16"/>
          <w:rFonts w:hint="eastAsia" w:ascii="仿宋_GB2312" w:hAnsi="宋体" w:eastAsia="仿宋_GB2312"/>
          <w:b w:val="0"/>
          <w:bCs w:val="0"/>
          <w:color w:val="auto"/>
          <w:spacing w:val="-4"/>
          <w:sz w:val="28"/>
          <w:szCs w:val="28"/>
        </w:rPr>
        <w:t>保障。</w:t>
      </w:r>
    </w:p>
    <w:p>
      <w:pPr>
        <w:spacing w:line="360" w:lineRule="auto"/>
        <w:ind w:firstLine="544" w:firstLineChars="200"/>
        <w:rPr>
          <w:rStyle w:val="16"/>
          <w:rFonts w:hint="eastAsia"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1、圆满完成负责监督检查卫生健康法律法规的落实情况，，为 人民身体健康提供卫生监督检验保障。卫生许可审核；卫生许可 申请受理与组织审核；卫生监督管理；医疗机及其执业人员的执 业资质、执业行为、传染病防治监督,学校卫生监督,生活饮用水 监督,医疗服务的监督检查工作；对违法违规行为立案调查和处 理，负责相关举报、投诉的调查处理。</w:t>
      </w:r>
    </w:p>
    <w:p>
      <w:pPr>
        <w:tabs>
          <w:tab w:val="left" w:pos="312"/>
        </w:tabs>
        <w:spacing w:line="360" w:lineRule="auto"/>
        <w:ind w:firstLine="544" w:firstLineChars="200"/>
        <w:rPr>
          <w:rStyle w:val="16"/>
          <w:rFonts w:hint="eastAsia" w:ascii="仿宋_GB2312" w:hAnsi="宋体" w:eastAsia="仿宋_GB2312"/>
          <w:b w:val="0"/>
          <w:bCs w:val="0"/>
          <w:color w:val="auto"/>
          <w:spacing w:val="-4"/>
          <w:sz w:val="28"/>
          <w:szCs w:val="28"/>
          <w:lang w:eastAsia="zh-CN"/>
        </w:rPr>
      </w:pPr>
      <w:r>
        <w:rPr>
          <w:rStyle w:val="16"/>
          <w:rFonts w:ascii="仿宋_GB2312" w:hAnsi="宋体" w:eastAsia="仿宋_GB2312"/>
          <w:b w:val="0"/>
          <w:bCs w:val="0"/>
          <w:color w:val="auto"/>
          <w:spacing w:val="-4"/>
          <w:sz w:val="28"/>
          <w:szCs w:val="28"/>
        </w:rPr>
        <w:t>2</w:t>
      </w:r>
      <w:r>
        <w:rPr>
          <w:rStyle w:val="16"/>
          <w:rFonts w:hint="eastAsia" w:ascii="仿宋_GB2312" w:hAnsi="宋体" w:eastAsia="仿宋_GB2312"/>
          <w:b w:val="0"/>
          <w:bCs w:val="0"/>
          <w:color w:val="auto"/>
          <w:spacing w:val="-4"/>
          <w:sz w:val="28"/>
          <w:szCs w:val="28"/>
        </w:rPr>
        <w:t>、承担公共场所 卫生、饮用水卫生、学校卫生、医疗卫生职业卫生、放射卫生、 传染病防治、</w:t>
      </w:r>
      <w:r>
        <w:rPr>
          <w:rStyle w:val="16"/>
          <w:rFonts w:hint="eastAsia" w:ascii="仿宋_GB2312" w:hAnsi="宋体" w:eastAsia="仿宋_GB2312"/>
          <w:b w:val="0"/>
          <w:bCs w:val="0"/>
          <w:color w:val="auto"/>
          <w:spacing w:val="-4"/>
          <w:sz w:val="28"/>
          <w:szCs w:val="28"/>
          <w:lang w:eastAsia="zh-CN"/>
        </w:rPr>
        <w:t>****</w:t>
      </w:r>
      <w:r>
        <w:rPr>
          <w:rStyle w:val="16"/>
          <w:rFonts w:hint="eastAsia" w:ascii="仿宋_GB2312" w:hAnsi="宋体" w:eastAsia="仿宋_GB2312"/>
          <w:b w:val="0"/>
          <w:bCs w:val="0"/>
          <w:color w:val="auto"/>
          <w:spacing w:val="-4"/>
          <w:sz w:val="28"/>
          <w:szCs w:val="28"/>
        </w:rPr>
        <w:t>和中医服务等综合监督行政执法职责；承 担本县卫生健康综合监督执法机构业务指导培训和检查考核；指 重大活动的公共卫生监督保障，组织开展卫生监督应急工作任务提前完成</w:t>
      </w:r>
      <w:r>
        <w:rPr>
          <w:rStyle w:val="16"/>
          <w:rFonts w:hint="eastAsia" w:ascii="仿宋_GB2312" w:hAnsi="宋体" w:eastAsia="仿宋_GB2312"/>
          <w:b w:val="0"/>
          <w:bCs w:val="0"/>
          <w:color w:val="auto"/>
          <w:spacing w:val="-4"/>
          <w:sz w:val="28"/>
          <w:szCs w:val="28"/>
          <w:lang w:eastAsia="zh-CN"/>
        </w:rPr>
        <w:t>。</w:t>
      </w:r>
    </w:p>
    <w:p>
      <w:pPr>
        <w:pStyle w:val="4"/>
        <w:spacing w:line="360" w:lineRule="auto"/>
        <w:ind w:firstLine="643" w:firstLineChars="200"/>
        <w:rPr>
          <w:rStyle w:val="16"/>
          <w:rFonts w:ascii="仿宋" w:hAnsi="仿宋" w:eastAsia="仿宋"/>
          <w:b/>
          <w:bCs/>
          <w:color w:val="auto"/>
        </w:rPr>
      </w:pPr>
      <w:bookmarkStart w:id="30" w:name="_Toc70450316"/>
      <w:r>
        <w:rPr>
          <w:rStyle w:val="16"/>
          <w:rFonts w:hint="eastAsia" w:ascii="仿宋" w:hAnsi="仿宋" w:eastAsia="仿宋"/>
          <w:b/>
          <w:bCs/>
          <w:color w:val="auto"/>
        </w:rPr>
        <w:t>（三）有效性评价</w:t>
      </w:r>
      <w:bookmarkEnd w:id="30"/>
    </w:p>
    <w:p>
      <w:pPr>
        <w:tabs>
          <w:tab w:val="left" w:pos="312"/>
        </w:tabs>
        <w:spacing w:line="360" w:lineRule="auto"/>
        <w:ind w:firstLine="544" w:firstLineChars="200"/>
        <w:rPr>
          <w:rStyle w:val="16"/>
          <w:rFonts w:hint="eastAsia" w:ascii="仿宋_GB2312" w:hAnsi="宋体" w:eastAsia="仿宋_GB2312" w:cs="Times New Roman"/>
          <w:b w:val="0"/>
          <w:bCs w:val="0"/>
          <w:color w:val="auto"/>
          <w:spacing w:val="-4"/>
          <w:sz w:val="28"/>
          <w:szCs w:val="28"/>
          <w:lang w:eastAsia="zh-CN"/>
        </w:rPr>
      </w:pPr>
      <w:r>
        <w:rPr>
          <w:rStyle w:val="16"/>
          <w:rFonts w:ascii="仿宋_GB2312" w:hAnsi="宋体" w:eastAsia="仿宋_GB2312" w:cs="Times New Roman"/>
          <w:b w:val="0"/>
          <w:bCs w:val="0"/>
          <w:color w:val="auto"/>
          <w:spacing w:val="-4"/>
          <w:sz w:val="28"/>
          <w:szCs w:val="28"/>
          <w:lang w:val="en-US" w:eastAsia="zh-CN"/>
        </w:rPr>
        <w:t>为了人民群众的健康，开展医疗与预防保健服务常见病、多 发病的治疗。协助开展突发公共卫生事件应急调查和处置工作， 承担区域内公共卫生相关信息的收集和报告</w:t>
      </w:r>
      <w:r>
        <w:rPr>
          <w:rStyle w:val="16"/>
          <w:rFonts w:hint="eastAsia" w:ascii="仿宋_GB2312" w:hAnsi="宋体" w:eastAsia="仿宋_GB2312" w:cs="Times New Roman"/>
          <w:b w:val="0"/>
          <w:bCs w:val="0"/>
          <w:color w:val="auto"/>
          <w:spacing w:val="-4"/>
          <w:sz w:val="28"/>
          <w:szCs w:val="28"/>
          <w:lang w:val="en-US" w:eastAsia="zh-CN"/>
        </w:rPr>
        <w:t>成效显著，</w:t>
      </w:r>
      <w:r>
        <w:rPr>
          <w:rStyle w:val="16"/>
          <w:rFonts w:ascii="仿宋_GB2312" w:hAnsi="宋体" w:eastAsia="仿宋_GB2312" w:cs="Times New Roman"/>
          <w:b w:val="0"/>
          <w:bCs w:val="0"/>
          <w:color w:val="auto"/>
          <w:spacing w:val="-4"/>
          <w:sz w:val="28"/>
          <w:szCs w:val="28"/>
        </w:rPr>
        <w:t>加大医疗便民惠民措施的推广力度，改进服务模式，优化服务流程，方便群众就医。进一步规范门诊、病房的管理，使群众真正得到实惠</w:t>
      </w:r>
      <w:r>
        <w:rPr>
          <w:rStyle w:val="16"/>
          <w:rFonts w:hint="eastAsia" w:ascii="仿宋_GB2312" w:hAnsi="宋体" w:eastAsia="仿宋_GB2312" w:cs="Times New Roman"/>
          <w:b w:val="0"/>
          <w:bCs w:val="0"/>
          <w:color w:val="auto"/>
          <w:spacing w:val="-4"/>
          <w:sz w:val="28"/>
          <w:szCs w:val="28"/>
          <w:lang w:eastAsia="zh-CN"/>
        </w:rPr>
        <w:t>，</w:t>
      </w:r>
      <w:r>
        <w:rPr>
          <w:rStyle w:val="16"/>
          <w:rFonts w:hint="eastAsia" w:ascii="仿宋_GB2312" w:hAnsi="宋体" w:eastAsia="仿宋_GB2312" w:cs="Times New Roman"/>
          <w:b w:val="0"/>
          <w:bCs w:val="0"/>
          <w:color w:val="auto"/>
          <w:spacing w:val="-4"/>
          <w:sz w:val="28"/>
          <w:szCs w:val="28"/>
        </w:rPr>
        <w:t>群众满意度高</w:t>
      </w:r>
      <w:r>
        <w:rPr>
          <w:rStyle w:val="16"/>
          <w:rFonts w:hint="eastAsia" w:ascii="仿宋_GB2312" w:hAnsi="宋体" w:eastAsia="仿宋_GB2312" w:cs="Times New Roman"/>
          <w:b w:val="0"/>
          <w:bCs w:val="0"/>
          <w:color w:val="auto"/>
          <w:spacing w:val="-4"/>
          <w:sz w:val="28"/>
          <w:szCs w:val="28"/>
          <w:lang w:eastAsia="zh-CN"/>
        </w:rPr>
        <w:t>。</w:t>
      </w:r>
    </w:p>
    <w:p>
      <w:pPr>
        <w:tabs>
          <w:tab w:val="left" w:pos="312"/>
        </w:tabs>
        <w:spacing w:line="360" w:lineRule="auto"/>
        <w:ind w:firstLine="544" w:firstLineChars="200"/>
        <w:rPr>
          <w:rStyle w:val="16"/>
          <w:rFonts w:ascii="仿宋_GB2312" w:hAnsi="宋体" w:eastAsia="仿宋_GB2312" w:cs="Times New Roman"/>
          <w:b w:val="0"/>
          <w:bCs w:val="0"/>
          <w:color w:val="auto"/>
          <w:spacing w:val="-4"/>
          <w:sz w:val="28"/>
          <w:szCs w:val="28"/>
        </w:rPr>
      </w:pPr>
      <w:r>
        <w:rPr>
          <w:rStyle w:val="16"/>
          <w:rFonts w:hint="eastAsia" w:ascii="仿宋_GB2312" w:hAnsi="宋体" w:eastAsia="仿宋_GB2312" w:cs="Times New Roman"/>
          <w:b w:val="0"/>
          <w:bCs w:val="0"/>
          <w:color w:val="auto"/>
          <w:spacing w:val="-4"/>
          <w:sz w:val="28"/>
          <w:szCs w:val="28"/>
        </w:rPr>
        <w:t>详细情况如下：</w:t>
      </w:r>
    </w:p>
    <w:p>
      <w:pPr>
        <w:snapToGrid w:val="0"/>
        <w:spacing w:line="360" w:lineRule="auto"/>
        <w:ind w:firstLine="544" w:firstLineChars="200"/>
        <w:rPr>
          <w:rStyle w:val="16"/>
          <w:rFonts w:ascii="仿宋_GB2312" w:eastAsia="仿宋_GB2312" w:hAnsiTheme="minorEastAsia"/>
          <w:b w:val="0"/>
          <w:color w:val="auto"/>
          <w:spacing w:val="-4"/>
          <w:sz w:val="28"/>
          <w:szCs w:val="28"/>
        </w:rPr>
      </w:pPr>
      <w:r>
        <w:rPr>
          <w:rStyle w:val="16"/>
          <w:rFonts w:hint="eastAsia" w:ascii="仿宋_GB2312" w:eastAsia="仿宋_GB2312" w:hAnsiTheme="minorEastAsia"/>
          <w:b w:val="0"/>
          <w:color w:val="auto"/>
          <w:spacing w:val="-4"/>
          <w:sz w:val="28"/>
          <w:szCs w:val="28"/>
          <w:lang w:val="en-US" w:eastAsia="zh-CN"/>
        </w:rPr>
        <w:t>特克斯县卫生计生综合监督执法局</w:t>
      </w:r>
      <w:r>
        <w:rPr>
          <w:rStyle w:val="16"/>
          <w:rFonts w:hint="eastAsia" w:ascii="仿宋_GB2312" w:eastAsia="仿宋_GB2312" w:hAnsiTheme="minorEastAsia"/>
          <w:b w:val="0"/>
          <w:color w:val="auto"/>
          <w:spacing w:val="-4"/>
          <w:sz w:val="28"/>
          <w:szCs w:val="28"/>
        </w:rPr>
        <w:t>单位整体绩效目标共设置一级指标</w:t>
      </w:r>
      <w:r>
        <w:rPr>
          <w:rStyle w:val="16"/>
          <w:rFonts w:hint="eastAsia" w:ascii="仿宋_GB2312" w:eastAsia="仿宋_GB2312" w:hAnsiTheme="minorEastAsia"/>
          <w:b w:val="0"/>
          <w:color w:val="auto"/>
          <w:spacing w:val="-4"/>
          <w:sz w:val="28"/>
          <w:szCs w:val="28"/>
          <w:lang w:val="en-US" w:eastAsia="zh-CN"/>
        </w:rPr>
        <w:t>3</w:t>
      </w:r>
      <w:r>
        <w:rPr>
          <w:rStyle w:val="16"/>
          <w:rFonts w:hint="eastAsia" w:ascii="仿宋_GB2312" w:eastAsia="仿宋_GB2312" w:hAnsiTheme="minorEastAsia"/>
          <w:b w:val="0"/>
          <w:color w:val="auto"/>
          <w:spacing w:val="-4"/>
          <w:sz w:val="28"/>
          <w:szCs w:val="28"/>
        </w:rPr>
        <w:t>个，二级指标</w:t>
      </w:r>
      <w:r>
        <w:rPr>
          <w:rStyle w:val="16"/>
          <w:rFonts w:hint="eastAsia" w:ascii="仿宋_GB2312" w:eastAsia="仿宋_GB2312" w:hAnsiTheme="minorEastAsia"/>
          <w:b w:val="0"/>
          <w:color w:val="auto"/>
          <w:spacing w:val="-4"/>
          <w:sz w:val="28"/>
          <w:szCs w:val="28"/>
          <w:lang w:val="en-US" w:eastAsia="zh-CN"/>
        </w:rPr>
        <w:t>8</w:t>
      </w:r>
      <w:r>
        <w:rPr>
          <w:rStyle w:val="16"/>
          <w:rFonts w:hint="eastAsia" w:ascii="仿宋_GB2312" w:eastAsia="仿宋_GB2312" w:hAnsiTheme="minorEastAsia"/>
          <w:b w:val="0"/>
          <w:color w:val="auto"/>
          <w:spacing w:val="-4"/>
          <w:sz w:val="28"/>
          <w:szCs w:val="28"/>
        </w:rPr>
        <w:t xml:space="preserve">个，三级指标 </w:t>
      </w:r>
      <w:r>
        <w:rPr>
          <w:rStyle w:val="16"/>
          <w:rFonts w:hint="eastAsia" w:ascii="仿宋_GB2312" w:eastAsia="仿宋_GB2312" w:hAnsiTheme="minorEastAsia"/>
          <w:b w:val="0"/>
          <w:color w:val="auto"/>
          <w:spacing w:val="-4"/>
          <w:sz w:val="28"/>
          <w:szCs w:val="28"/>
          <w:lang w:val="en-US" w:eastAsia="zh-CN"/>
        </w:rPr>
        <w:t>11</w:t>
      </w:r>
      <w:r>
        <w:rPr>
          <w:rStyle w:val="16"/>
          <w:rFonts w:hint="eastAsia" w:ascii="仿宋_GB2312" w:eastAsia="仿宋_GB2312" w:hAnsiTheme="minorEastAsia"/>
          <w:b w:val="0"/>
          <w:color w:val="auto"/>
          <w:spacing w:val="-4"/>
          <w:sz w:val="28"/>
          <w:szCs w:val="28"/>
        </w:rPr>
        <w:t>个，详细说明如下</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ascii="仿宋_GB2312" w:hAnsi="宋体" w:eastAsia="仿宋_GB2312"/>
          <w:b w:val="0"/>
          <w:color w:val="auto"/>
          <w:spacing w:val="-4"/>
          <w:sz w:val="28"/>
          <w:szCs w:val="28"/>
        </w:rPr>
        <w:t>1</w:t>
      </w:r>
      <w:r>
        <w:rPr>
          <w:rStyle w:val="16"/>
          <w:rFonts w:hint="eastAsia" w:ascii="仿宋_GB2312" w:hAnsi="宋体" w:eastAsia="仿宋_GB2312"/>
          <w:b w:val="0"/>
          <w:color w:val="auto"/>
          <w:spacing w:val="-4"/>
          <w:sz w:val="28"/>
          <w:szCs w:val="28"/>
        </w:rPr>
        <w:t>、数量指标：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w:t>
      </w:r>
      <w:r>
        <w:rPr>
          <w:rStyle w:val="16"/>
          <w:rFonts w:hint="eastAsia" w:ascii="仿宋_GB2312" w:hAnsi="宋体" w:eastAsia="仿宋_GB2312"/>
          <w:b w:val="0"/>
          <w:color w:val="auto"/>
          <w:spacing w:val="-4"/>
          <w:sz w:val="28"/>
          <w:szCs w:val="28"/>
          <w:lang w:val="en-US" w:eastAsia="zh-CN"/>
        </w:rPr>
        <w:t>特克斯县卫生计生综合监督执法局</w:t>
      </w:r>
      <w:r>
        <w:rPr>
          <w:rStyle w:val="16"/>
          <w:rFonts w:hint="eastAsia" w:ascii="仿宋_GB2312" w:hAnsi="宋体" w:eastAsia="仿宋_GB2312"/>
          <w:b w:val="0"/>
          <w:color w:val="auto"/>
          <w:spacing w:val="-4"/>
          <w:sz w:val="28"/>
          <w:szCs w:val="28"/>
        </w:rPr>
        <w:t>保障在职人数 ，指标值：</w:t>
      </w:r>
      <w:r>
        <w:rPr>
          <w:rStyle w:val="16"/>
          <w:rFonts w:hint="eastAsia" w:ascii="仿宋_GB2312" w:hAnsi="宋体" w:eastAsia="仿宋_GB2312"/>
          <w:b w:val="0"/>
          <w:color w:val="auto"/>
          <w:spacing w:val="-4"/>
          <w:sz w:val="28"/>
          <w:szCs w:val="28"/>
          <w:lang w:val="en-US" w:eastAsia="zh-CN"/>
        </w:rPr>
        <w:t>=12</w:t>
      </w:r>
      <w:r>
        <w:rPr>
          <w:rStyle w:val="16"/>
          <w:rFonts w:hint="eastAsia" w:ascii="仿宋_GB2312" w:hAnsi="宋体" w:eastAsia="仿宋_GB2312"/>
          <w:b w:val="0"/>
          <w:color w:val="auto"/>
          <w:spacing w:val="-4"/>
          <w:sz w:val="28"/>
          <w:szCs w:val="28"/>
        </w:rPr>
        <w:t>人 ，实际完成值：</w:t>
      </w:r>
      <w:r>
        <w:rPr>
          <w:rStyle w:val="16"/>
          <w:rFonts w:hint="eastAsia" w:ascii="仿宋_GB2312" w:hAnsi="宋体" w:eastAsia="仿宋_GB2312"/>
          <w:b w:val="0"/>
          <w:color w:val="auto"/>
          <w:spacing w:val="-4"/>
          <w:sz w:val="28"/>
          <w:szCs w:val="28"/>
          <w:lang w:val="en-US" w:eastAsia="zh-CN"/>
        </w:rPr>
        <w:t>12</w:t>
      </w:r>
      <w:r>
        <w:rPr>
          <w:rStyle w:val="16"/>
          <w:rFonts w:hint="eastAsia" w:ascii="仿宋_GB2312" w:hAnsi="宋体" w:eastAsia="仿宋_GB2312"/>
          <w:b w:val="0"/>
          <w:color w:val="auto"/>
          <w:spacing w:val="-4"/>
          <w:sz w:val="28"/>
          <w:szCs w:val="28"/>
        </w:rPr>
        <w:t>人 ，指标完成率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w:t>
      </w:r>
      <w:r>
        <w:rPr>
          <w:rStyle w:val="16"/>
          <w:rFonts w:ascii="仿宋_GB2312" w:hAnsi="宋体" w:eastAsia="仿宋_GB2312"/>
          <w:b w:val="0"/>
          <w:color w:val="auto"/>
          <w:spacing w:val="-4"/>
          <w:sz w:val="28"/>
          <w:szCs w:val="28"/>
        </w:rPr>
        <w:t>2</w:t>
      </w:r>
      <w:r>
        <w:rPr>
          <w:rStyle w:val="16"/>
          <w:rFonts w:hint="eastAsia" w:ascii="仿宋_GB2312" w:hAnsi="宋体" w:eastAsia="仿宋_GB2312"/>
          <w:b w:val="0"/>
          <w:color w:val="auto"/>
          <w:spacing w:val="-4"/>
          <w:sz w:val="28"/>
          <w:szCs w:val="28"/>
        </w:rPr>
        <w:t>：</w:t>
      </w:r>
      <w:r>
        <w:rPr>
          <w:rStyle w:val="16"/>
          <w:rFonts w:hint="eastAsia" w:ascii="仿宋_GB2312" w:hAnsi="宋体" w:eastAsia="仿宋_GB2312"/>
          <w:b w:val="0"/>
          <w:color w:val="auto"/>
          <w:spacing w:val="-4"/>
          <w:sz w:val="28"/>
          <w:szCs w:val="28"/>
          <w:lang w:val="en-US" w:eastAsia="zh-CN"/>
        </w:rPr>
        <w:t>特克斯县卫生计生综合监督执法局</w:t>
      </w:r>
      <w:r>
        <w:rPr>
          <w:rStyle w:val="16"/>
          <w:rFonts w:hint="eastAsia" w:ascii="仿宋_GB2312" w:hAnsi="宋体" w:eastAsia="仿宋_GB2312"/>
          <w:b w:val="0"/>
          <w:color w:val="auto"/>
          <w:spacing w:val="-4"/>
          <w:sz w:val="28"/>
          <w:szCs w:val="28"/>
        </w:rPr>
        <w:t>退休人数 ，指标值：</w:t>
      </w:r>
      <w:r>
        <w:rPr>
          <w:rStyle w:val="16"/>
          <w:rFonts w:hint="eastAsia" w:ascii="仿宋_GB2312" w:hAnsi="宋体" w:eastAsia="仿宋_GB2312"/>
          <w:b w:val="0"/>
          <w:color w:val="auto"/>
          <w:spacing w:val="-4"/>
          <w:sz w:val="28"/>
          <w:szCs w:val="28"/>
          <w:lang w:val="en-US" w:eastAsia="zh-CN"/>
        </w:rPr>
        <w:t>=3</w:t>
      </w:r>
      <w:r>
        <w:rPr>
          <w:rStyle w:val="16"/>
          <w:rFonts w:hint="eastAsia" w:ascii="仿宋_GB2312" w:hAnsi="宋体" w:eastAsia="仿宋_GB2312"/>
          <w:b w:val="0"/>
          <w:color w:val="auto"/>
          <w:spacing w:val="-4"/>
          <w:sz w:val="28"/>
          <w:szCs w:val="28"/>
        </w:rPr>
        <w:t>人，实际完成值：</w:t>
      </w:r>
      <w:r>
        <w:rPr>
          <w:rStyle w:val="16"/>
          <w:rFonts w:hint="eastAsia" w:ascii="仿宋_GB2312" w:hAnsi="宋体" w:eastAsia="仿宋_GB2312"/>
          <w:b w:val="0"/>
          <w:color w:val="auto"/>
          <w:spacing w:val="-4"/>
          <w:sz w:val="28"/>
          <w:szCs w:val="28"/>
          <w:lang w:val="en-US" w:eastAsia="zh-CN"/>
        </w:rPr>
        <w:t>3</w:t>
      </w:r>
      <w:r>
        <w:rPr>
          <w:rStyle w:val="16"/>
          <w:rFonts w:hint="eastAsia" w:ascii="仿宋_GB2312" w:hAnsi="宋体" w:eastAsia="仿宋_GB2312"/>
          <w:b w:val="0"/>
          <w:color w:val="auto"/>
          <w:spacing w:val="-4"/>
          <w:sz w:val="28"/>
          <w:szCs w:val="28"/>
        </w:rPr>
        <w:t>人，指标完成率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ascii="仿宋_GB2312" w:hAnsi="宋体" w:eastAsia="仿宋_GB2312"/>
          <w:b w:val="0"/>
          <w:color w:val="auto"/>
          <w:spacing w:val="-4"/>
          <w:sz w:val="28"/>
          <w:szCs w:val="28"/>
        </w:rPr>
        <w:t>2</w:t>
      </w:r>
      <w:r>
        <w:rPr>
          <w:rStyle w:val="16"/>
          <w:rFonts w:hint="eastAsia" w:ascii="仿宋_GB2312" w:hAnsi="宋体" w:eastAsia="仿宋_GB2312"/>
          <w:b w:val="0"/>
          <w:color w:val="auto"/>
          <w:spacing w:val="-4"/>
          <w:sz w:val="28"/>
          <w:szCs w:val="28"/>
        </w:rPr>
        <w:t>、质量指标：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指标1：全单位人员工资、社保等福利及日常公用经费发放准确率，指标值：</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%，实际完成值：</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ascii="仿宋_GB2312" w:hAnsi="宋体" w:eastAsia="仿宋_GB2312"/>
          <w:b w:val="0"/>
          <w:color w:val="auto"/>
          <w:spacing w:val="-4"/>
          <w:sz w:val="28"/>
          <w:szCs w:val="28"/>
        </w:rPr>
        <w:t>3</w:t>
      </w:r>
      <w:r>
        <w:rPr>
          <w:rStyle w:val="16"/>
          <w:rFonts w:hint="eastAsia" w:ascii="仿宋_GB2312" w:hAnsi="宋体" w:eastAsia="仿宋_GB2312"/>
          <w:b w:val="0"/>
          <w:color w:val="auto"/>
          <w:spacing w:val="-4"/>
          <w:sz w:val="28"/>
          <w:szCs w:val="28"/>
        </w:rPr>
        <w:t>、时效指标：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指标1：全单位人员工资、社保等福利及日常公用经费发放及时性，指标值：</w:t>
      </w:r>
      <w:r>
        <w:rPr>
          <w:rStyle w:val="16"/>
          <w:rFonts w:hint="eastAsia" w:ascii="仿宋_GB2312" w:hAnsi="宋体" w:eastAsia="仿宋_GB2312"/>
          <w:b w:val="0"/>
          <w:color w:val="auto"/>
          <w:spacing w:val="-4"/>
          <w:sz w:val="28"/>
          <w:szCs w:val="28"/>
          <w:lang w:val="en-US" w:eastAsia="zh-CN"/>
        </w:rPr>
        <w:t>=</w:t>
      </w:r>
      <w:r>
        <w:rPr>
          <w:rStyle w:val="16"/>
          <w:rFonts w:hint="eastAsia" w:ascii="仿宋_GB2312" w:hAnsi="宋体" w:eastAsia="仿宋_GB2312"/>
          <w:b w:val="0"/>
          <w:color w:val="auto"/>
          <w:spacing w:val="-4"/>
          <w:sz w:val="28"/>
          <w:szCs w:val="28"/>
        </w:rPr>
        <w:t>100%，实际完成值：100%，指标完成率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ascii="仿宋_GB2312" w:hAnsi="宋体" w:eastAsia="仿宋_GB2312"/>
          <w:b w:val="0"/>
          <w:color w:val="auto"/>
          <w:spacing w:val="-4"/>
          <w:sz w:val="28"/>
          <w:szCs w:val="28"/>
        </w:rPr>
        <w:t>4</w:t>
      </w:r>
      <w:r>
        <w:rPr>
          <w:rStyle w:val="16"/>
          <w:rFonts w:hint="eastAsia" w:ascii="仿宋_GB2312" w:hAnsi="宋体" w:eastAsia="仿宋_GB2312"/>
          <w:b w:val="0"/>
          <w:color w:val="auto"/>
          <w:spacing w:val="-4"/>
          <w:sz w:val="28"/>
          <w:szCs w:val="28"/>
        </w:rPr>
        <w:t>、成本指标：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指标1：人均工资福利支出，指标值：</w:t>
      </w:r>
      <w:r>
        <w:rPr>
          <w:rStyle w:val="16"/>
          <w:rFonts w:hint="eastAsia" w:ascii="仿宋_GB2312" w:hAnsi="宋体" w:eastAsia="仿宋_GB2312"/>
          <w:b w:val="0"/>
          <w:color w:val="auto"/>
          <w:spacing w:val="-4"/>
          <w:sz w:val="28"/>
          <w:szCs w:val="28"/>
          <w:lang w:val="en-US" w:eastAsia="zh-CN"/>
        </w:rPr>
        <w:t>=10.55</w:t>
      </w:r>
      <w:r>
        <w:rPr>
          <w:rStyle w:val="16"/>
          <w:rFonts w:hint="eastAsia" w:ascii="仿宋_GB2312" w:hAnsi="宋体" w:eastAsia="仿宋_GB2312"/>
          <w:b w:val="0"/>
          <w:color w:val="auto"/>
          <w:spacing w:val="-4"/>
          <w:sz w:val="28"/>
          <w:szCs w:val="28"/>
        </w:rPr>
        <w:t>万元/人 ，实际完成值：</w:t>
      </w:r>
      <w:r>
        <w:rPr>
          <w:rStyle w:val="16"/>
          <w:rFonts w:hint="eastAsia" w:ascii="仿宋_GB2312" w:hAnsi="宋体" w:eastAsia="仿宋_GB2312"/>
          <w:b w:val="0"/>
          <w:color w:val="auto"/>
          <w:spacing w:val="-4"/>
          <w:sz w:val="28"/>
          <w:szCs w:val="28"/>
          <w:lang w:val="en-US" w:eastAsia="zh-CN"/>
        </w:rPr>
        <w:t>10.55</w:t>
      </w:r>
      <w:r>
        <w:rPr>
          <w:rStyle w:val="16"/>
          <w:rFonts w:hint="eastAsia" w:ascii="仿宋_GB2312" w:hAnsi="宋体" w:eastAsia="仿宋_GB2312"/>
          <w:b w:val="0"/>
          <w:color w:val="auto"/>
          <w:spacing w:val="-4"/>
          <w:sz w:val="28"/>
          <w:szCs w:val="28"/>
        </w:rPr>
        <w:t>元/人，指标完成率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w:t>
      </w:r>
      <w:r>
        <w:rPr>
          <w:rStyle w:val="16"/>
          <w:rFonts w:ascii="仿宋_GB2312" w:hAnsi="宋体" w:eastAsia="仿宋_GB2312"/>
          <w:b w:val="0"/>
          <w:color w:val="auto"/>
          <w:spacing w:val="-4"/>
          <w:sz w:val="28"/>
          <w:szCs w:val="28"/>
        </w:rPr>
        <w:t>2</w:t>
      </w:r>
      <w:r>
        <w:rPr>
          <w:rStyle w:val="16"/>
          <w:rFonts w:hint="eastAsia" w:ascii="仿宋_GB2312" w:hAnsi="宋体" w:eastAsia="仿宋_GB2312"/>
          <w:b w:val="0"/>
          <w:color w:val="auto"/>
          <w:spacing w:val="-4"/>
          <w:sz w:val="28"/>
          <w:szCs w:val="28"/>
        </w:rPr>
        <w:t>：退休人员人均福利支出  ，指标值：</w:t>
      </w:r>
      <w:r>
        <w:rPr>
          <w:rStyle w:val="16"/>
          <w:rFonts w:hint="eastAsia" w:ascii="仿宋_GB2312" w:hAnsi="宋体" w:eastAsia="仿宋_GB2312"/>
          <w:b w:val="0"/>
          <w:color w:val="auto"/>
          <w:spacing w:val="-4"/>
          <w:sz w:val="28"/>
          <w:szCs w:val="28"/>
          <w:lang w:val="en-US" w:eastAsia="zh-CN"/>
        </w:rPr>
        <w:t>=0.13</w:t>
      </w:r>
      <w:r>
        <w:rPr>
          <w:rStyle w:val="16"/>
          <w:rFonts w:hint="eastAsia" w:ascii="仿宋_GB2312" w:hAnsi="宋体" w:eastAsia="仿宋_GB2312"/>
          <w:b w:val="0"/>
          <w:color w:val="auto"/>
          <w:spacing w:val="-4"/>
          <w:sz w:val="28"/>
          <w:szCs w:val="28"/>
        </w:rPr>
        <w:t>万元/人，实际完成值：</w:t>
      </w:r>
      <w:r>
        <w:rPr>
          <w:rStyle w:val="16"/>
          <w:rFonts w:hint="eastAsia" w:ascii="仿宋_GB2312" w:hAnsi="宋体" w:eastAsia="仿宋_GB2312"/>
          <w:b w:val="0"/>
          <w:color w:val="auto"/>
          <w:spacing w:val="-4"/>
          <w:sz w:val="28"/>
          <w:szCs w:val="28"/>
          <w:lang w:val="en-US" w:eastAsia="zh-CN"/>
        </w:rPr>
        <w:t>0.13</w:t>
      </w:r>
      <w:r>
        <w:rPr>
          <w:rStyle w:val="16"/>
          <w:rFonts w:hint="eastAsia" w:ascii="仿宋_GB2312" w:hAnsi="宋体" w:eastAsia="仿宋_GB2312"/>
          <w:b w:val="0"/>
          <w:color w:val="auto"/>
          <w:spacing w:val="-4"/>
          <w:sz w:val="28"/>
          <w:szCs w:val="28"/>
        </w:rPr>
        <w:t>万元/人，指标完成率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w:t>
      </w:r>
      <w:r>
        <w:rPr>
          <w:rStyle w:val="16"/>
          <w:rFonts w:hint="eastAsia" w:ascii="仿宋_GB2312" w:hAnsi="宋体" w:eastAsia="仿宋_GB2312"/>
          <w:b w:val="0"/>
          <w:color w:val="auto"/>
          <w:spacing w:val="-4"/>
          <w:sz w:val="28"/>
          <w:szCs w:val="28"/>
          <w:lang w:val="en-US" w:eastAsia="zh-CN"/>
        </w:rPr>
        <w:t>3</w:t>
      </w:r>
      <w:r>
        <w:rPr>
          <w:rStyle w:val="16"/>
          <w:rFonts w:hint="eastAsia" w:ascii="仿宋_GB2312" w:hAnsi="宋体" w:eastAsia="仿宋_GB2312"/>
          <w:b w:val="0"/>
          <w:color w:val="auto"/>
          <w:spacing w:val="-4"/>
          <w:sz w:val="28"/>
          <w:szCs w:val="28"/>
        </w:rPr>
        <w:t>：人均日常公用经费支出，指标值：</w:t>
      </w:r>
      <w:r>
        <w:rPr>
          <w:rStyle w:val="16"/>
          <w:rFonts w:hint="eastAsia" w:ascii="仿宋_GB2312" w:hAnsi="宋体" w:eastAsia="仿宋_GB2312"/>
          <w:b w:val="0"/>
          <w:color w:val="auto"/>
          <w:spacing w:val="-4"/>
          <w:sz w:val="28"/>
          <w:szCs w:val="28"/>
          <w:lang w:val="en-US" w:eastAsia="zh-CN"/>
        </w:rPr>
        <w:t>=0.365</w:t>
      </w:r>
      <w:r>
        <w:rPr>
          <w:rStyle w:val="16"/>
          <w:rFonts w:hint="eastAsia" w:ascii="仿宋_GB2312" w:hAnsi="宋体" w:eastAsia="仿宋_GB2312"/>
          <w:b w:val="0"/>
          <w:color w:val="auto"/>
          <w:spacing w:val="-4"/>
          <w:sz w:val="28"/>
          <w:szCs w:val="28"/>
        </w:rPr>
        <w:t>万元/人，实际完成值：</w:t>
      </w:r>
      <w:r>
        <w:rPr>
          <w:rStyle w:val="16"/>
          <w:rFonts w:hint="eastAsia" w:ascii="仿宋_GB2312" w:hAnsi="宋体" w:eastAsia="仿宋_GB2312"/>
          <w:b w:val="0"/>
          <w:color w:val="auto"/>
          <w:spacing w:val="-4"/>
          <w:sz w:val="28"/>
          <w:szCs w:val="28"/>
          <w:lang w:val="en-US" w:eastAsia="zh-CN"/>
        </w:rPr>
        <w:t>0.365</w:t>
      </w:r>
      <w:r>
        <w:rPr>
          <w:rStyle w:val="16"/>
          <w:rFonts w:hint="eastAsia" w:ascii="仿宋_GB2312" w:hAnsi="宋体" w:eastAsia="仿宋_GB2312"/>
          <w:b w:val="0"/>
          <w:color w:val="auto"/>
          <w:spacing w:val="-4"/>
          <w:sz w:val="28"/>
          <w:szCs w:val="28"/>
        </w:rPr>
        <w:t>万元/人，指标完成率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5</w:t>
      </w:r>
      <w:r>
        <w:rPr>
          <w:rStyle w:val="16"/>
          <w:rFonts w:hint="eastAsia" w:ascii="仿宋_GB2312" w:hAnsi="宋体" w:eastAsia="仿宋_GB2312"/>
          <w:b w:val="0"/>
          <w:color w:val="auto"/>
          <w:spacing w:val="-4"/>
          <w:sz w:val="28"/>
          <w:szCs w:val="28"/>
        </w:rPr>
        <w:t>、社会效益指标：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指标1：提高对组织现场监督检测、医疗服务的监督检测，指标值：有效提高，实际完成值：有效提高，指标完成率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6</w:t>
      </w:r>
      <w:r>
        <w:rPr>
          <w:rStyle w:val="16"/>
          <w:rFonts w:hint="eastAsia" w:ascii="仿宋_GB2312" w:hAnsi="宋体" w:eastAsia="仿宋_GB2312"/>
          <w:b w:val="0"/>
          <w:color w:val="auto"/>
          <w:spacing w:val="-4"/>
          <w:sz w:val="28"/>
          <w:szCs w:val="28"/>
        </w:rPr>
        <w:t>、生态效益指标：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指标1：为人民群众的身体健康提高了卫生保障，指标值：有效保障，实际完成值：有效保障，指标完成率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7</w:t>
      </w:r>
      <w:r>
        <w:rPr>
          <w:rStyle w:val="16"/>
          <w:rFonts w:hint="eastAsia" w:ascii="仿宋_GB2312" w:hAnsi="宋体" w:eastAsia="仿宋_GB2312"/>
          <w:b w:val="0"/>
          <w:color w:val="auto"/>
          <w:spacing w:val="-4"/>
          <w:sz w:val="28"/>
          <w:szCs w:val="28"/>
        </w:rPr>
        <w:t>、可持续影响指标：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指标1：生产经营场所的卫生状况得到进一步改善，实际完成值：有效改善，实际完成值：有效改善</w:t>
      </w:r>
      <w:r>
        <w:rPr>
          <w:rStyle w:val="16"/>
          <w:rFonts w:hint="eastAsia" w:ascii="仿宋_GB2312" w:hAnsi="宋体" w:eastAsia="仿宋_GB2312"/>
          <w:b w:val="0"/>
          <w:color w:val="auto"/>
          <w:spacing w:val="-4"/>
          <w:sz w:val="28"/>
          <w:szCs w:val="28"/>
          <w:lang w:eastAsia="zh-CN"/>
        </w:rPr>
        <w:t>，</w:t>
      </w:r>
      <w:r>
        <w:rPr>
          <w:rStyle w:val="16"/>
          <w:rFonts w:hint="eastAsia" w:ascii="仿宋_GB2312" w:hAnsi="宋体" w:eastAsia="仿宋_GB2312"/>
          <w:b w:val="0"/>
          <w:color w:val="auto"/>
          <w:spacing w:val="-4"/>
          <w:sz w:val="28"/>
          <w:szCs w:val="28"/>
        </w:rPr>
        <w:t>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8</w:t>
      </w:r>
      <w:r>
        <w:rPr>
          <w:rStyle w:val="16"/>
          <w:rFonts w:hint="eastAsia" w:ascii="仿宋_GB2312" w:hAnsi="宋体" w:eastAsia="仿宋_GB2312"/>
          <w:b w:val="0"/>
          <w:color w:val="auto"/>
          <w:spacing w:val="-4"/>
          <w:sz w:val="28"/>
          <w:szCs w:val="28"/>
        </w:rPr>
        <w:t>、满意度指标：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w:t>
      </w:r>
      <w:r>
        <w:rPr>
          <w:rStyle w:val="16"/>
          <w:rFonts w:hint="eastAsia" w:ascii="仿宋_GB2312" w:hAnsi="宋体" w:eastAsia="仿宋_GB2312"/>
          <w:b w:val="0"/>
          <w:color w:val="auto"/>
          <w:spacing w:val="-4"/>
          <w:sz w:val="28"/>
          <w:szCs w:val="28"/>
          <w:lang w:val="en-US" w:eastAsia="zh-CN"/>
        </w:rPr>
        <w:t>1</w:t>
      </w:r>
      <w:r>
        <w:rPr>
          <w:rStyle w:val="16"/>
          <w:rFonts w:hint="eastAsia" w:ascii="仿宋_GB2312" w:hAnsi="宋体" w:eastAsia="仿宋_GB2312"/>
          <w:b w:val="0"/>
          <w:color w:val="auto"/>
          <w:spacing w:val="-4"/>
          <w:sz w:val="28"/>
          <w:szCs w:val="28"/>
        </w:rPr>
        <w:t>：干部职工满意度，指标值：100%，实际完成值：100%，指标完成率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pacing w:line="360" w:lineRule="auto"/>
        <w:ind w:firstLine="544" w:firstLineChars="200"/>
        <w:rPr>
          <w:rStyle w:val="16"/>
          <w:rFonts w:ascii="仿宋_GB2312" w:hAnsi="宋体" w:eastAsia="仿宋_GB2312"/>
          <w:b w:val="0"/>
          <w:bCs w:val="0"/>
          <w:color w:val="auto"/>
          <w:spacing w:val="-4"/>
          <w:sz w:val="28"/>
          <w:szCs w:val="28"/>
        </w:rPr>
      </w:pPr>
    </w:p>
    <w:p>
      <w:pPr>
        <w:pStyle w:val="3"/>
        <w:spacing w:line="360" w:lineRule="auto"/>
        <w:rPr>
          <w:rFonts w:ascii="仿宋" w:hAnsi="仿宋" w:eastAsia="仿宋"/>
          <w:color w:val="auto"/>
          <w:sz w:val="36"/>
          <w:szCs w:val="36"/>
          <w:lang w:bidi="ar"/>
        </w:rPr>
      </w:pPr>
      <w:bookmarkStart w:id="31" w:name="_Toc70450317"/>
      <w:r>
        <w:rPr>
          <w:rFonts w:hint="eastAsia" w:ascii="仿宋" w:hAnsi="仿宋" w:eastAsia="仿宋"/>
          <w:color w:val="auto"/>
          <w:sz w:val="36"/>
          <w:szCs w:val="36"/>
          <w:lang w:bidi="ar"/>
        </w:rPr>
        <w:t>六、存在的主要问题</w:t>
      </w:r>
      <w:bookmarkEnd w:id="31"/>
    </w:p>
    <w:p>
      <w:pPr>
        <w:snapToGrid w:val="0"/>
        <w:spacing w:line="360" w:lineRule="auto"/>
        <w:ind w:firstLine="544" w:firstLineChars="200"/>
        <w:rPr>
          <w:rStyle w:val="16"/>
          <w:rFonts w:hint="eastAsia" w:ascii="仿宋_GB2312" w:hAnsi="宋体" w:eastAsia="仿宋_GB2312" w:cs="Times New Roman"/>
          <w:b w:val="0"/>
          <w:color w:val="auto"/>
          <w:spacing w:val="-4"/>
          <w:sz w:val="28"/>
          <w:szCs w:val="28"/>
          <w:lang w:val="en-US" w:eastAsia="zh-CN"/>
        </w:rPr>
      </w:pPr>
      <w:r>
        <w:rPr>
          <w:rStyle w:val="16"/>
          <w:rFonts w:hint="eastAsia" w:ascii="仿宋_GB2312" w:hAnsi="宋体" w:eastAsia="仿宋_GB2312" w:cs="Times New Roman"/>
          <w:b w:val="0"/>
          <w:color w:val="auto"/>
          <w:spacing w:val="-4"/>
          <w:sz w:val="28"/>
          <w:szCs w:val="28"/>
          <w:lang w:val="en-US" w:eastAsia="zh-CN"/>
        </w:rPr>
        <w:t>(一)预算执行存在偏差</w:t>
      </w:r>
    </w:p>
    <w:p>
      <w:pPr>
        <w:snapToGrid w:val="0"/>
        <w:spacing w:line="360" w:lineRule="auto"/>
        <w:ind w:firstLine="544" w:firstLineChars="200"/>
        <w:rPr>
          <w:rStyle w:val="16"/>
          <w:rFonts w:hint="eastAsia" w:ascii="仿宋_GB2312" w:hAnsi="宋体" w:eastAsia="仿宋_GB2312" w:cs="Times New Roman"/>
          <w:b w:val="0"/>
          <w:color w:val="auto"/>
          <w:spacing w:val="-4"/>
          <w:sz w:val="28"/>
          <w:szCs w:val="28"/>
          <w:lang w:val="en-US" w:eastAsia="zh-CN"/>
        </w:rPr>
      </w:pPr>
      <w:r>
        <w:rPr>
          <w:rStyle w:val="16"/>
          <w:rFonts w:hint="eastAsia" w:ascii="仿宋_GB2312" w:hAnsi="宋体" w:eastAsia="仿宋_GB2312" w:cs="Times New Roman"/>
          <w:b w:val="0"/>
          <w:color w:val="auto"/>
          <w:spacing w:val="-4"/>
          <w:sz w:val="28"/>
          <w:szCs w:val="28"/>
          <w:lang w:val="en-US" w:eastAsia="zh-CN"/>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snapToGrid w:val="0"/>
        <w:spacing w:line="360" w:lineRule="auto"/>
        <w:ind w:firstLine="544" w:firstLineChars="200"/>
        <w:rPr>
          <w:rStyle w:val="16"/>
          <w:rFonts w:hint="eastAsia" w:ascii="仿宋_GB2312" w:hAnsi="宋体" w:eastAsia="仿宋_GB2312" w:cs="Times New Roman"/>
          <w:b w:val="0"/>
          <w:color w:val="auto"/>
          <w:spacing w:val="-4"/>
          <w:sz w:val="28"/>
          <w:szCs w:val="28"/>
          <w:lang w:val="en-US" w:eastAsia="zh-CN"/>
        </w:rPr>
      </w:pPr>
      <w:r>
        <w:rPr>
          <w:rStyle w:val="16"/>
          <w:rFonts w:hint="eastAsia" w:ascii="仿宋_GB2312" w:hAnsi="宋体" w:eastAsia="仿宋_GB2312" w:cs="Times New Roman"/>
          <w:b w:val="0"/>
          <w:color w:val="auto"/>
          <w:spacing w:val="-4"/>
          <w:sz w:val="28"/>
          <w:szCs w:val="28"/>
          <w:lang w:val="en-US" w:eastAsia="zh-CN"/>
        </w:rPr>
        <w:t>项目细化管理工作不足。我单位无项目安排</w:t>
      </w:r>
    </w:p>
    <w:p>
      <w:pPr>
        <w:snapToGrid w:val="0"/>
        <w:spacing w:line="360" w:lineRule="auto"/>
        <w:ind w:firstLine="544" w:firstLineChars="200"/>
        <w:rPr>
          <w:rStyle w:val="16"/>
          <w:rFonts w:hint="eastAsia" w:ascii="仿宋_GB2312" w:hAnsi="宋体" w:eastAsia="仿宋_GB2312" w:cs="Times New Roman"/>
          <w:b w:val="0"/>
          <w:color w:val="auto"/>
          <w:spacing w:val="-4"/>
          <w:sz w:val="28"/>
          <w:szCs w:val="28"/>
          <w:lang w:val="en-US" w:eastAsia="zh-CN"/>
        </w:rPr>
      </w:pPr>
      <w:r>
        <w:rPr>
          <w:rStyle w:val="16"/>
          <w:rFonts w:hint="eastAsia" w:ascii="仿宋_GB2312" w:hAnsi="宋体" w:eastAsia="仿宋_GB2312" w:cs="Times New Roman"/>
          <w:b w:val="0"/>
          <w:color w:val="auto"/>
          <w:spacing w:val="-4"/>
          <w:sz w:val="28"/>
          <w:szCs w:val="28"/>
          <w:lang w:val="en-US" w:eastAsia="zh-CN"/>
        </w:rPr>
        <w:t>（三）预算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snapToGrid w:val="0"/>
        <w:spacing w:line="360" w:lineRule="auto"/>
        <w:ind w:firstLine="544" w:firstLineChars="200"/>
        <w:rPr>
          <w:rStyle w:val="16"/>
          <w:rFonts w:hint="eastAsia" w:ascii="仿宋_GB2312" w:hAnsi="宋体" w:eastAsia="仿宋_GB2312" w:cs="Times New Roman"/>
          <w:b w:val="0"/>
          <w:color w:val="auto"/>
          <w:spacing w:val="-4"/>
          <w:sz w:val="28"/>
          <w:szCs w:val="28"/>
          <w:lang w:val="en-US" w:eastAsia="zh-CN"/>
        </w:rPr>
      </w:pPr>
      <w:r>
        <w:rPr>
          <w:rStyle w:val="16"/>
          <w:rFonts w:hint="eastAsia" w:ascii="仿宋_GB2312" w:hAnsi="宋体" w:eastAsia="仿宋_GB2312" w:cs="Times New Roman"/>
          <w:b w:val="0"/>
          <w:color w:val="auto"/>
          <w:spacing w:val="-4"/>
          <w:sz w:val="28"/>
          <w:szCs w:val="28"/>
          <w:lang w:val="en-US" w:eastAsia="zh-CN"/>
        </w:rPr>
        <w:t>（四）固定资产管理水平有待提高</w:t>
      </w:r>
    </w:p>
    <w:p>
      <w:pPr>
        <w:snapToGrid w:val="0"/>
        <w:spacing w:line="360" w:lineRule="auto"/>
        <w:ind w:firstLine="544" w:firstLineChars="200"/>
        <w:rPr>
          <w:rStyle w:val="16"/>
          <w:rFonts w:hint="eastAsia" w:ascii="仿宋_GB2312" w:hAnsi="宋体" w:eastAsia="仿宋_GB2312" w:cs="Times New Roman"/>
          <w:b w:val="0"/>
          <w:color w:val="auto"/>
          <w:spacing w:val="-4"/>
          <w:sz w:val="28"/>
          <w:szCs w:val="28"/>
          <w:lang w:val="en-US" w:eastAsia="zh-CN"/>
        </w:rPr>
      </w:pPr>
      <w:r>
        <w:rPr>
          <w:rStyle w:val="16"/>
          <w:rFonts w:hint="eastAsia" w:ascii="仿宋_GB2312" w:hAnsi="宋体" w:eastAsia="仿宋_GB2312" w:cs="Times New Roman"/>
          <w:b w:val="0"/>
          <w:color w:val="auto"/>
          <w:spacing w:val="-4"/>
          <w:sz w:val="28"/>
          <w:szCs w:val="28"/>
          <w:lang w:val="en-US" w:eastAsia="zh-CN"/>
        </w:rPr>
        <w:t>固定资产台账未及时与账面资产金额对账且末与实物进行清点及及时清理处置报废资产导致资产台账与账面资产金额存在差异,固定资产管理继续加强中。</w:t>
      </w:r>
    </w:p>
    <w:p>
      <w:pPr>
        <w:spacing w:line="360" w:lineRule="auto"/>
        <w:rPr>
          <w:color w:val="auto"/>
          <w:lang w:bidi="ar"/>
        </w:rPr>
      </w:pPr>
    </w:p>
    <w:p>
      <w:pPr>
        <w:pStyle w:val="3"/>
        <w:spacing w:line="360" w:lineRule="auto"/>
        <w:rPr>
          <w:rFonts w:ascii="仿宋" w:hAnsi="仿宋" w:eastAsia="仿宋"/>
          <w:color w:val="auto"/>
          <w:sz w:val="36"/>
          <w:szCs w:val="36"/>
          <w:lang w:bidi="ar"/>
        </w:rPr>
      </w:pPr>
      <w:bookmarkStart w:id="32" w:name="_Toc70450318"/>
      <w:r>
        <w:rPr>
          <w:rFonts w:hint="eastAsia" w:ascii="仿宋" w:hAnsi="仿宋" w:eastAsia="仿宋"/>
          <w:color w:val="auto"/>
          <w:sz w:val="36"/>
          <w:szCs w:val="36"/>
          <w:lang w:bidi="ar"/>
        </w:rPr>
        <w:t>七、改进措施和建议</w:t>
      </w:r>
      <w:bookmarkEnd w:id="32"/>
    </w:p>
    <w:p>
      <w:pPr>
        <w:spacing w:line="360" w:lineRule="auto"/>
        <w:rPr>
          <w:color w:val="auto"/>
          <w:lang w:bidi="ar"/>
        </w:rPr>
      </w:pPr>
    </w:p>
    <w:p>
      <w:pPr>
        <w:pStyle w:val="4"/>
        <w:spacing w:line="360" w:lineRule="auto"/>
        <w:rPr>
          <w:rStyle w:val="16"/>
          <w:rFonts w:ascii="仿宋" w:hAnsi="仿宋" w:eastAsia="仿宋"/>
          <w:b/>
          <w:bCs/>
          <w:color w:val="auto"/>
        </w:rPr>
      </w:pPr>
      <w:bookmarkStart w:id="33" w:name="_Toc70450319"/>
      <w:r>
        <w:rPr>
          <w:rStyle w:val="16"/>
          <w:rFonts w:hint="eastAsia" w:ascii="仿宋" w:hAnsi="仿宋" w:eastAsia="仿宋"/>
          <w:b/>
          <w:bCs/>
          <w:color w:val="auto"/>
        </w:rPr>
        <w:t>（一）改进措施</w:t>
      </w:r>
      <w:bookmarkEnd w:id="33"/>
    </w:p>
    <w:p>
      <w:pPr>
        <w:snapToGrid w:val="0"/>
        <w:spacing w:line="360" w:lineRule="auto"/>
        <w:ind w:firstLine="544" w:firstLineChars="200"/>
        <w:rPr>
          <w:rStyle w:val="16"/>
          <w:rFonts w:hint="eastAsia" w:ascii="仿宋_GB2312" w:hAnsi="宋体" w:eastAsia="仿宋_GB2312" w:cs="Times New Roman"/>
          <w:b w:val="0"/>
          <w:color w:val="auto"/>
          <w:spacing w:val="-4"/>
          <w:sz w:val="28"/>
          <w:szCs w:val="28"/>
          <w:lang w:val="en-US" w:eastAsia="zh-CN"/>
        </w:rPr>
      </w:pPr>
      <w:r>
        <w:rPr>
          <w:rStyle w:val="16"/>
          <w:rFonts w:hint="eastAsia" w:ascii="仿宋_GB2312" w:hAnsi="宋体" w:eastAsia="仿宋_GB2312" w:cs="Times New Roman"/>
          <w:b w:val="0"/>
          <w:color w:val="auto"/>
          <w:spacing w:val="-4"/>
          <w:sz w:val="28"/>
          <w:szCs w:val="28"/>
          <w:lang w:val="en-US" w:eastAsia="zh-CN"/>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napToGrid w:val="0"/>
        <w:spacing w:line="360" w:lineRule="auto"/>
        <w:ind w:firstLine="544" w:firstLineChars="200"/>
        <w:rPr>
          <w:rStyle w:val="16"/>
          <w:rFonts w:hint="eastAsia" w:ascii="仿宋_GB2312" w:hAnsi="宋体" w:eastAsia="仿宋_GB2312" w:cs="Times New Roman"/>
          <w:b w:val="0"/>
          <w:color w:val="auto"/>
          <w:spacing w:val="-4"/>
          <w:sz w:val="28"/>
          <w:szCs w:val="28"/>
          <w:lang w:val="en-US" w:eastAsia="zh-CN"/>
        </w:rPr>
      </w:pPr>
      <w:r>
        <w:rPr>
          <w:rStyle w:val="16"/>
          <w:rFonts w:hint="eastAsia" w:ascii="仿宋_GB2312" w:hAnsi="宋体" w:eastAsia="仿宋_GB2312" w:cs="Times New Roman"/>
          <w:b w:val="0"/>
          <w:color w:val="auto"/>
          <w:spacing w:val="-4"/>
          <w:sz w:val="28"/>
          <w:szCs w:val="28"/>
          <w:lang w:val="en-US" w:eastAsia="zh-CN"/>
        </w:rPr>
        <w:t>(二)完善管理制度,进-步加强资产管理。严格按照《固定资产管理办法》的规定，加强固定资产管理,及时登记、更新台账，加强资产卡片管理,对各类实物资产进行全面盘点,确保账账、账实相符。</w:t>
      </w:r>
    </w:p>
    <w:p>
      <w:pPr>
        <w:snapToGrid w:val="0"/>
        <w:spacing w:line="360" w:lineRule="auto"/>
        <w:ind w:firstLine="544" w:firstLineChars="200"/>
        <w:rPr>
          <w:rStyle w:val="16"/>
          <w:rFonts w:hint="eastAsia" w:ascii="仿宋_GB2312" w:hAnsi="宋体" w:eastAsia="仿宋_GB2312" w:cs="Times New Roman"/>
          <w:b w:val="0"/>
          <w:color w:val="auto"/>
          <w:spacing w:val="-4"/>
          <w:sz w:val="28"/>
          <w:szCs w:val="28"/>
          <w:lang w:val="en-US" w:eastAsia="zh-CN"/>
        </w:rPr>
      </w:pPr>
      <w:r>
        <w:rPr>
          <w:rStyle w:val="16"/>
          <w:rFonts w:hint="eastAsia" w:ascii="仿宋_GB2312" w:hAnsi="宋体" w:eastAsia="仿宋_GB2312" w:cs="Times New Roman"/>
          <w:b w:val="0"/>
          <w:color w:val="auto"/>
          <w:spacing w:val="-4"/>
          <w:sz w:val="28"/>
          <w:szCs w:val="28"/>
          <w:lang w:val="en-US" w:eastAsia="zh-CN"/>
        </w:rPr>
        <w:t>（三）加强学习。进一步明确如何参照考核体系，科学合理设定绩效目标，充分发挥预算绩效管理工作效用。</w:t>
      </w:r>
    </w:p>
    <w:p>
      <w:pPr>
        <w:snapToGrid w:val="0"/>
        <w:spacing w:line="360" w:lineRule="auto"/>
        <w:ind w:firstLine="544" w:firstLineChars="200"/>
        <w:rPr>
          <w:rStyle w:val="16"/>
          <w:rFonts w:hint="eastAsia" w:ascii="仿宋_GB2312" w:hAnsi="宋体" w:eastAsia="仿宋_GB2312" w:cs="Times New Roman"/>
          <w:b w:val="0"/>
          <w:color w:val="auto"/>
          <w:spacing w:val="-4"/>
          <w:sz w:val="28"/>
          <w:szCs w:val="28"/>
          <w:lang w:val="en-US" w:eastAsia="zh-CN"/>
        </w:rPr>
      </w:pPr>
      <w:r>
        <w:rPr>
          <w:rStyle w:val="16"/>
          <w:rFonts w:hint="eastAsia" w:ascii="仿宋_GB2312" w:hAnsi="宋体" w:eastAsia="仿宋_GB2312" w:cs="Times New Roman"/>
          <w:b w:val="0"/>
          <w:color w:val="auto"/>
          <w:spacing w:val="-4"/>
          <w:sz w:val="28"/>
          <w:szCs w:val="28"/>
          <w:lang w:val="en-US" w:eastAsia="zh-CN"/>
        </w:rPr>
        <w:t>（四）财务上，会计核算要更加详细，为本单位各项工作的开展、总结、评估提供有效数据资料支撑,为各项业务工作更好的开展提供帮助。</w:t>
      </w:r>
    </w:p>
    <w:p>
      <w:pPr>
        <w:snapToGrid w:val="0"/>
        <w:spacing w:line="360" w:lineRule="auto"/>
        <w:ind w:firstLine="544" w:firstLineChars="200"/>
        <w:rPr>
          <w:rStyle w:val="16"/>
          <w:rFonts w:hint="eastAsia" w:ascii="仿宋_GB2312" w:hAnsi="宋体" w:eastAsia="仿宋_GB2312" w:cs="Times New Roman"/>
          <w:b w:val="0"/>
          <w:color w:val="auto"/>
          <w:spacing w:val="-4"/>
          <w:sz w:val="28"/>
          <w:szCs w:val="28"/>
          <w:lang w:val="en-US" w:eastAsia="zh-CN"/>
        </w:rPr>
      </w:pPr>
      <w:r>
        <w:rPr>
          <w:rStyle w:val="16"/>
          <w:rFonts w:hint="eastAsia" w:ascii="仿宋_GB2312" w:hAnsi="宋体" w:eastAsia="仿宋_GB2312" w:cs="Times New Roman"/>
          <w:b w:val="0"/>
          <w:color w:val="auto"/>
          <w:spacing w:val="-4"/>
          <w:sz w:val="28"/>
          <w:szCs w:val="28"/>
          <w:lang w:val="en-US" w:eastAsia="zh-CN"/>
        </w:rPr>
        <w:t>（五）从源头上强化对专项资金预算管理。实行专项资金预算管理，结合单位实际, 按轻重缓急统筹安排编制预算,提高预算编制科学性和合理性,优化资金结构。</w:t>
      </w:r>
    </w:p>
    <w:p>
      <w:pPr>
        <w:snapToGrid w:val="0"/>
        <w:spacing w:line="360" w:lineRule="auto"/>
        <w:ind w:firstLine="544" w:firstLineChars="200"/>
        <w:rPr>
          <w:rStyle w:val="16"/>
          <w:rFonts w:hint="eastAsia" w:ascii="仿宋_GB2312" w:hAnsi="宋体" w:eastAsia="仿宋_GB2312" w:cs="Times New Roman"/>
          <w:b w:val="0"/>
          <w:color w:val="auto"/>
          <w:spacing w:val="-4"/>
          <w:sz w:val="28"/>
          <w:szCs w:val="28"/>
          <w:lang w:val="en-US" w:eastAsia="zh-CN"/>
        </w:rPr>
      </w:pPr>
      <w:r>
        <w:rPr>
          <w:rStyle w:val="16"/>
          <w:rFonts w:hint="eastAsia" w:ascii="仿宋_GB2312" w:hAnsi="宋体" w:eastAsia="仿宋_GB2312" w:cs="Times New Roman"/>
          <w:b w:val="0"/>
          <w:color w:val="auto"/>
          <w:spacing w:val="-4"/>
          <w:sz w:val="28"/>
          <w:szCs w:val="28"/>
          <w:lang w:val="en-US" w:eastAsia="zh-CN"/>
        </w:rPr>
        <w:t>（六）按时间进度分解资金使用计划。专项资金的使用，要事前做计划，事中进行控制，事后总结提高。合理安排资金使用,充分体现资金投向的目标和效益。</w:t>
      </w:r>
    </w:p>
    <w:p>
      <w:pPr>
        <w:snapToGrid w:val="0"/>
        <w:spacing w:line="360" w:lineRule="auto"/>
        <w:ind w:firstLine="544" w:firstLineChars="200"/>
        <w:rPr>
          <w:rStyle w:val="16"/>
          <w:rFonts w:hint="eastAsia" w:ascii="仿宋_GB2312" w:hAnsi="宋体" w:eastAsia="仿宋_GB2312" w:cs="Times New Roman"/>
          <w:b w:val="0"/>
          <w:color w:val="auto"/>
          <w:spacing w:val="-4"/>
          <w:sz w:val="28"/>
          <w:szCs w:val="28"/>
          <w:lang w:val="en-US" w:eastAsia="zh-CN"/>
        </w:rPr>
      </w:pPr>
      <w:r>
        <w:rPr>
          <w:rStyle w:val="16"/>
          <w:rFonts w:hint="eastAsia" w:ascii="仿宋_GB2312" w:hAnsi="宋体" w:eastAsia="仿宋_GB2312" w:cs="Times New Roman"/>
          <w:b w:val="0"/>
          <w:color w:val="auto"/>
          <w:spacing w:val="-4"/>
          <w:sz w:val="28"/>
          <w:szCs w:val="28"/>
          <w:lang w:val="en-US" w:eastAsia="zh-CN"/>
        </w:rPr>
        <w:t>（七）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rPr>
          <w:rFonts w:ascii="仿宋" w:hAnsi="仿宋" w:eastAsia="仿宋"/>
          <w:color w:val="auto"/>
          <w:sz w:val="22"/>
          <w:szCs w:val="28"/>
        </w:rPr>
      </w:pPr>
    </w:p>
    <w:p>
      <w:pPr>
        <w:pStyle w:val="3"/>
        <w:spacing w:line="360" w:lineRule="auto"/>
        <w:rPr>
          <w:rStyle w:val="16"/>
          <w:rFonts w:ascii="仿宋" w:hAnsi="仿宋" w:eastAsia="仿宋"/>
          <w:b/>
          <w:bCs/>
          <w:color w:val="auto"/>
          <w:sz w:val="36"/>
          <w:szCs w:val="36"/>
        </w:rPr>
      </w:pPr>
      <w:r>
        <w:rPr>
          <w:rFonts w:hint="eastAsia"/>
          <w:color w:val="auto"/>
          <w:lang w:eastAsia="zh-CN"/>
        </w:rPr>
        <w:tab/>
      </w:r>
      <w:bookmarkStart w:id="34" w:name="_Toc70450321"/>
      <w:r>
        <w:rPr>
          <w:rStyle w:val="16"/>
          <w:rFonts w:hint="eastAsia" w:ascii="仿宋" w:hAnsi="仿宋" w:eastAsia="仿宋"/>
          <w:b/>
          <w:bCs/>
          <w:color w:val="auto"/>
          <w:sz w:val="36"/>
          <w:szCs w:val="36"/>
        </w:rPr>
        <w:t>八、附表</w:t>
      </w:r>
      <w:r>
        <w:rPr>
          <w:rStyle w:val="16"/>
          <w:rFonts w:hint="eastAsia" w:ascii="仿宋" w:hAnsi="仿宋" w:eastAsia="仿宋"/>
          <w:b w:val="0"/>
          <w:bCs w:val="0"/>
          <w:color w:val="auto"/>
          <w:spacing w:val="-4"/>
          <w:sz w:val="36"/>
          <w:szCs w:val="36"/>
        </w:rPr>
        <w:t>：</w:t>
      </w:r>
      <w:bookmarkStart w:id="35" w:name="_Hlk70450148"/>
      <w:r>
        <w:rPr>
          <w:rStyle w:val="16"/>
          <w:rFonts w:hint="eastAsia" w:ascii="仿宋" w:hAnsi="仿宋" w:eastAsia="仿宋"/>
          <w:b/>
          <w:bCs/>
          <w:color w:val="auto"/>
          <w:sz w:val="36"/>
          <w:szCs w:val="36"/>
        </w:rPr>
        <w:t>《部门整体支出绩效目标自评表》</w:t>
      </w:r>
      <w:bookmarkEnd w:id="34"/>
      <w:bookmarkEnd w:id="35"/>
    </w:p>
    <w:p>
      <w:pPr>
        <w:tabs>
          <w:tab w:val="left" w:pos="898"/>
        </w:tabs>
        <w:spacing w:line="360" w:lineRule="auto"/>
        <w:rPr>
          <w:rFonts w:hint="eastAsia" w:eastAsiaTheme="minorEastAsia"/>
          <w:color w:val="auto"/>
          <w:lang w:eastAsia="zh-CN"/>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tbl>
      <w:tblPr>
        <w:tblStyle w:val="14"/>
        <w:tblW w:w="8213" w:type="dxa"/>
        <w:tblInd w:w="93" w:type="dxa"/>
        <w:tblLayout w:type="fixed"/>
        <w:tblCellMar>
          <w:top w:w="0" w:type="dxa"/>
          <w:left w:w="108" w:type="dxa"/>
          <w:bottom w:w="0" w:type="dxa"/>
          <w:right w:w="108" w:type="dxa"/>
        </w:tblCellMar>
      </w:tblPr>
      <w:tblGrid>
        <w:gridCol w:w="448"/>
        <w:gridCol w:w="658"/>
        <w:gridCol w:w="1722"/>
        <w:gridCol w:w="897"/>
        <w:gridCol w:w="897"/>
        <w:gridCol w:w="898"/>
        <w:gridCol w:w="897"/>
        <w:gridCol w:w="449"/>
        <w:gridCol w:w="449"/>
        <w:gridCol w:w="898"/>
      </w:tblGrid>
      <w:tr>
        <w:tblPrEx>
          <w:tblLayout w:type="fixed"/>
          <w:tblCellMar>
            <w:top w:w="0" w:type="dxa"/>
            <w:left w:w="108" w:type="dxa"/>
            <w:bottom w:w="0" w:type="dxa"/>
            <w:right w:w="108" w:type="dxa"/>
          </w:tblCellMar>
        </w:tblPrEx>
        <w:trPr>
          <w:trHeight w:val="405" w:hRule="atLeast"/>
        </w:trPr>
        <w:tc>
          <w:tcPr>
            <w:tcW w:w="821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8"/>
                <w:szCs w:val="18"/>
              </w:rPr>
            </w:pPr>
            <w:r>
              <w:rPr>
                <w:rFonts w:hint="eastAsia" w:ascii="宋体" w:hAnsi="宋体" w:eastAsia="宋体" w:cs="宋体"/>
                <w:b/>
                <w:bCs/>
                <w:i w:val="0"/>
                <w:iCs w:val="0"/>
                <w:color w:val="000000"/>
                <w:kern w:val="0"/>
                <w:sz w:val="24"/>
                <w:szCs w:val="24"/>
                <w:u w:val="none"/>
                <w:lang w:val="en-US" w:eastAsia="zh-CN" w:bidi="ar"/>
              </w:rPr>
              <w:t>部门整体支出绩效目标自评表</w:t>
            </w:r>
          </w:p>
        </w:tc>
      </w:tr>
      <w:tr>
        <w:tblPrEx>
          <w:tblLayout w:type="fixed"/>
          <w:tblCellMar>
            <w:top w:w="0" w:type="dxa"/>
            <w:left w:w="108" w:type="dxa"/>
            <w:bottom w:w="0" w:type="dxa"/>
            <w:right w:w="108" w:type="dxa"/>
          </w:tblCellMar>
        </w:tblPrEx>
        <w:trPr>
          <w:trHeight w:val="285" w:hRule="atLeast"/>
        </w:trPr>
        <w:tc>
          <w:tcPr>
            <w:tcW w:w="821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8"/>
                <w:szCs w:val="18"/>
              </w:rPr>
            </w:pPr>
            <w:r>
              <w:rPr>
                <w:rFonts w:hint="eastAsia" w:ascii="宋体" w:hAnsi="宋体" w:eastAsia="宋体" w:cs="宋体"/>
                <w:b/>
                <w:bCs/>
                <w:i w:val="0"/>
                <w:iCs w:val="0"/>
                <w:color w:val="000000"/>
                <w:kern w:val="0"/>
                <w:sz w:val="24"/>
                <w:szCs w:val="24"/>
                <w:u w:val="none"/>
                <w:lang w:val="en-US" w:eastAsia="zh-CN" w:bidi="ar"/>
              </w:rPr>
              <w:t>(2021年)</w:t>
            </w:r>
          </w:p>
        </w:tc>
      </w:tr>
      <w:tr>
        <w:tblPrEx>
          <w:tblLayout w:type="fixed"/>
          <w:tblCellMar>
            <w:top w:w="0" w:type="dxa"/>
            <w:left w:w="108" w:type="dxa"/>
            <w:bottom w:w="0" w:type="dxa"/>
            <w:right w:w="108" w:type="dxa"/>
          </w:tblCellMar>
        </w:tblPrEx>
        <w:trPr>
          <w:trHeight w:val="285" w:hRule="atLeast"/>
        </w:trPr>
        <w:tc>
          <w:tcPr>
            <w:tcW w:w="1106"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部门（单位）名称</w:t>
            </w:r>
          </w:p>
        </w:tc>
        <w:tc>
          <w:tcPr>
            <w:tcW w:w="7107"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特克斯县卫生计生综合监督执法局</w:t>
            </w:r>
          </w:p>
        </w:tc>
      </w:tr>
      <w:tr>
        <w:tblPrEx>
          <w:tblLayout w:type="fixed"/>
          <w:tblCellMar>
            <w:top w:w="0" w:type="dxa"/>
            <w:left w:w="108" w:type="dxa"/>
            <w:bottom w:w="0" w:type="dxa"/>
            <w:right w:w="108" w:type="dxa"/>
          </w:tblCellMar>
        </w:tblPrEx>
        <w:trPr>
          <w:trHeight w:val="285" w:hRule="atLeast"/>
        </w:trPr>
        <w:tc>
          <w:tcPr>
            <w:tcW w:w="448"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年度主要任务</w:t>
            </w:r>
          </w:p>
        </w:tc>
        <w:tc>
          <w:tcPr>
            <w:tcW w:w="658"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任务名称</w:t>
            </w:r>
          </w:p>
        </w:tc>
        <w:tc>
          <w:tcPr>
            <w:tcW w:w="1722"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主要内容</w:t>
            </w:r>
          </w:p>
        </w:tc>
        <w:tc>
          <w:tcPr>
            <w:tcW w:w="2692"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预算金额（万元）</w:t>
            </w:r>
          </w:p>
        </w:tc>
        <w:tc>
          <w:tcPr>
            <w:tcW w:w="269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实际执行（万元）</w:t>
            </w:r>
          </w:p>
        </w:tc>
      </w:tr>
      <w:tr>
        <w:tblPrEx>
          <w:tblLayout w:type="fixed"/>
          <w:tblCellMar>
            <w:top w:w="0" w:type="dxa"/>
            <w:left w:w="108" w:type="dxa"/>
            <w:bottom w:w="0" w:type="dxa"/>
            <w:right w:w="108" w:type="dxa"/>
          </w:tblCellMar>
        </w:tblPrEx>
        <w:trPr>
          <w:trHeight w:val="285" w:hRule="atLeast"/>
        </w:trPr>
        <w:tc>
          <w:tcPr>
            <w:tcW w:w="448"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rPr>
            </w:pPr>
          </w:p>
        </w:tc>
        <w:tc>
          <w:tcPr>
            <w:tcW w:w="658"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rPr>
            </w:pPr>
          </w:p>
        </w:tc>
        <w:tc>
          <w:tcPr>
            <w:tcW w:w="172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rPr>
            </w:pPr>
          </w:p>
        </w:tc>
        <w:tc>
          <w:tcPr>
            <w:tcW w:w="89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总额</w:t>
            </w:r>
          </w:p>
        </w:tc>
        <w:tc>
          <w:tcPr>
            <w:tcW w:w="89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财政拨款</w:t>
            </w:r>
          </w:p>
        </w:tc>
        <w:tc>
          <w:tcPr>
            <w:tcW w:w="89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其他资金</w:t>
            </w:r>
          </w:p>
        </w:tc>
        <w:tc>
          <w:tcPr>
            <w:tcW w:w="89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总额</w:t>
            </w:r>
          </w:p>
        </w:tc>
        <w:tc>
          <w:tcPr>
            <w:tcW w:w="898"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财政拨款</w:t>
            </w:r>
          </w:p>
        </w:tc>
        <w:tc>
          <w:tcPr>
            <w:tcW w:w="89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其他资金</w:t>
            </w:r>
          </w:p>
        </w:tc>
      </w:tr>
      <w:tr>
        <w:tblPrEx>
          <w:tblLayout w:type="fixed"/>
          <w:tblCellMar>
            <w:top w:w="0" w:type="dxa"/>
            <w:left w:w="108" w:type="dxa"/>
            <w:bottom w:w="0" w:type="dxa"/>
            <w:right w:w="108" w:type="dxa"/>
          </w:tblCellMar>
        </w:tblPrEx>
        <w:trPr>
          <w:trHeight w:val="285" w:hRule="atLeast"/>
        </w:trPr>
        <w:tc>
          <w:tcPr>
            <w:tcW w:w="44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658"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人员保障</w:t>
            </w:r>
          </w:p>
        </w:tc>
        <w:tc>
          <w:tcPr>
            <w:tcW w:w="172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用于保障部门单位人员发放工资福利支出及对个人和家庭补助</w:t>
            </w:r>
          </w:p>
        </w:tc>
        <w:tc>
          <w:tcPr>
            <w:tcW w:w="89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126.97 </w:t>
            </w:r>
          </w:p>
        </w:tc>
        <w:tc>
          <w:tcPr>
            <w:tcW w:w="89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126.97 </w:t>
            </w:r>
          </w:p>
        </w:tc>
        <w:tc>
          <w:tcPr>
            <w:tcW w:w="89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15"/>
                <w:szCs w:val="15"/>
                <w:lang w:val="en-US" w:eastAsia="zh-CN"/>
              </w:rPr>
            </w:pPr>
            <w:r>
              <w:rPr>
                <w:rFonts w:hint="eastAsia" w:ascii="宋体" w:hAnsi="宋体" w:eastAsia="宋体" w:cs="宋体"/>
                <w:i w:val="0"/>
                <w:iCs w:val="0"/>
                <w:color w:val="000000"/>
                <w:kern w:val="0"/>
                <w:sz w:val="24"/>
                <w:szCs w:val="24"/>
                <w:u w:val="none"/>
                <w:lang w:val="en-US" w:eastAsia="zh-CN" w:bidi="ar"/>
              </w:rPr>
              <w:t xml:space="preserve">0.00 </w:t>
            </w:r>
          </w:p>
        </w:tc>
        <w:tc>
          <w:tcPr>
            <w:tcW w:w="89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15"/>
                <w:szCs w:val="15"/>
                <w:lang w:val="en-US" w:eastAsia="zh-CN"/>
              </w:rPr>
            </w:pPr>
            <w:r>
              <w:rPr>
                <w:rFonts w:hint="eastAsia" w:ascii="宋体" w:hAnsi="宋体" w:eastAsia="宋体" w:cs="宋体"/>
                <w:i w:val="0"/>
                <w:iCs w:val="0"/>
                <w:color w:val="000000"/>
                <w:kern w:val="0"/>
                <w:sz w:val="24"/>
                <w:szCs w:val="24"/>
                <w:u w:val="none"/>
                <w:lang w:val="en-US" w:eastAsia="zh-CN" w:bidi="ar"/>
              </w:rPr>
              <w:t xml:space="preserve">126.97 </w:t>
            </w:r>
          </w:p>
        </w:tc>
        <w:tc>
          <w:tcPr>
            <w:tcW w:w="89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 xml:space="preserve">126.97 </w:t>
            </w:r>
          </w:p>
        </w:tc>
        <w:tc>
          <w:tcPr>
            <w:tcW w:w="89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 xml:space="preserve">0.00 </w:t>
            </w:r>
          </w:p>
        </w:tc>
      </w:tr>
      <w:tr>
        <w:tblPrEx>
          <w:tblLayout w:type="fixed"/>
          <w:tblCellMar>
            <w:top w:w="0" w:type="dxa"/>
            <w:left w:w="108" w:type="dxa"/>
            <w:bottom w:w="0" w:type="dxa"/>
            <w:right w:w="108" w:type="dxa"/>
          </w:tblCellMar>
        </w:tblPrEx>
        <w:trPr>
          <w:trHeight w:val="285" w:hRule="atLeast"/>
        </w:trPr>
        <w:tc>
          <w:tcPr>
            <w:tcW w:w="44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658"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运转保障</w:t>
            </w:r>
          </w:p>
        </w:tc>
        <w:tc>
          <w:tcPr>
            <w:tcW w:w="1722"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用于日常办公费、取暖费、三公经费、工会经费、福利费及其它商品和服务支出</w:t>
            </w:r>
          </w:p>
        </w:tc>
        <w:tc>
          <w:tcPr>
            <w:tcW w:w="89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4.40 </w:t>
            </w:r>
          </w:p>
        </w:tc>
        <w:tc>
          <w:tcPr>
            <w:tcW w:w="89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4.40 </w:t>
            </w:r>
          </w:p>
        </w:tc>
        <w:tc>
          <w:tcPr>
            <w:tcW w:w="89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15"/>
                <w:szCs w:val="15"/>
                <w:lang w:val="en-US" w:eastAsia="zh-CN"/>
              </w:rPr>
            </w:pPr>
            <w:r>
              <w:rPr>
                <w:rFonts w:hint="eastAsia" w:ascii="宋体" w:hAnsi="宋体" w:eastAsia="宋体" w:cs="宋体"/>
                <w:i w:val="0"/>
                <w:iCs w:val="0"/>
                <w:color w:val="000000"/>
                <w:kern w:val="0"/>
                <w:sz w:val="24"/>
                <w:szCs w:val="24"/>
                <w:u w:val="none"/>
                <w:lang w:val="en-US" w:eastAsia="zh-CN" w:bidi="ar"/>
              </w:rPr>
              <w:t xml:space="preserve">0.00 </w:t>
            </w:r>
          </w:p>
        </w:tc>
        <w:tc>
          <w:tcPr>
            <w:tcW w:w="89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15"/>
                <w:szCs w:val="15"/>
                <w:lang w:val="en-US" w:eastAsia="zh-CN"/>
              </w:rPr>
            </w:pPr>
            <w:r>
              <w:rPr>
                <w:rFonts w:hint="eastAsia" w:ascii="宋体" w:hAnsi="宋体" w:eastAsia="宋体" w:cs="宋体"/>
                <w:i w:val="0"/>
                <w:iCs w:val="0"/>
                <w:color w:val="000000"/>
                <w:kern w:val="0"/>
                <w:sz w:val="24"/>
                <w:szCs w:val="24"/>
                <w:u w:val="none"/>
                <w:lang w:val="en-US" w:eastAsia="zh-CN" w:bidi="ar"/>
              </w:rPr>
              <w:t xml:space="preserve">4.40 </w:t>
            </w:r>
          </w:p>
        </w:tc>
        <w:tc>
          <w:tcPr>
            <w:tcW w:w="89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 xml:space="preserve">4.40 </w:t>
            </w:r>
          </w:p>
        </w:tc>
        <w:tc>
          <w:tcPr>
            <w:tcW w:w="89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 xml:space="preserve">0.00 </w:t>
            </w:r>
          </w:p>
        </w:tc>
      </w:tr>
      <w:tr>
        <w:tblPrEx>
          <w:tblLayout w:type="fixed"/>
          <w:tblCellMar>
            <w:top w:w="0" w:type="dxa"/>
            <w:left w:w="108" w:type="dxa"/>
            <w:bottom w:w="0" w:type="dxa"/>
            <w:right w:w="108" w:type="dxa"/>
          </w:tblCellMar>
        </w:tblPrEx>
        <w:trPr>
          <w:trHeight w:val="285" w:hRule="atLeast"/>
        </w:trPr>
        <w:tc>
          <w:tcPr>
            <w:tcW w:w="44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2380"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金额合计</w:t>
            </w:r>
          </w:p>
        </w:tc>
        <w:tc>
          <w:tcPr>
            <w:tcW w:w="89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131.37 </w:t>
            </w:r>
          </w:p>
        </w:tc>
        <w:tc>
          <w:tcPr>
            <w:tcW w:w="89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131.37 </w:t>
            </w:r>
          </w:p>
        </w:tc>
        <w:tc>
          <w:tcPr>
            <w:tcW w:w="89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0.00 </w:t>
            </w:r>
          </w:p>
        </w:tc>
        <w:tc>
          <w:tcPr>
            <w:tcW w:w="89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131.37 </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 xml:space="preserve">131.37 </w:t>
            </w:r>
          </w:p>
        </w:tc>
        <w:tc>
          <w:tcPr>
            <w:tcW w:w="8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 xml:space="preserve">0.00 </w:t>
            </w:r>
          </w:p>
        </w:tc>
      </w:tr>
      <w:tr>
        <w:tblPrEx>
          <w:tblLayout w:type="fixed"/>
          <w:tblCellMar>
            <w:top w:w="0" w:type="dxa"/>
            <w:left w:w="108" w:type="dxa"/>
            <w:bottom w:w="0" w:type="dxa"/>
            <w:right w:w="108" w:type="dxa"/>
          </w:tblCellMar>
        </w:tblPrEx>
        <w:trPr>
          <w:trHeight w:val="285" w:hRule="atLeast"/>
        </w:trPr>
        <w:tc>
          <w:tcPr>
            <w:tcW w:w="448"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277"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预期目标</w:t>
            </w:r>
          </w:p>
        </w:tc>
        <w:tc>
          <w:tcPr>
            <w:tcW w:w="4488"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Layout w:type="fixed"/>
          <w:tblCellMar>
            <w:top w:w="0" w:type="dxa"/>
            <w:left w:w="108" w:type="dxa"/>
            <w:bottom w:w="0" w:type="dxa"/>
            <w:right w:w="108" w:type="dxa"/>
          </w:tblCellMar>
        </w:tblPrEx>
        <w:trPr>
          <w:trHeight w:val="2070" w:hRule="atLeast"/>
        </w:trPr>
        <w:tc>
          <w:tcPr>
            <w:tcW w:w="448"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rPr>
            </w:pPr>
          </w:p>
        </w:tc>
        <w:tc>
          <w:tcPr>
            <w:tcW w:w="327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lang w:val="en-US" w:eastAsia="zh-CN"/>
              </w:rPr>
            </w:pPr>
            <w:r>
              <w:rPr>
                <w:rFonts w:hint="eastAsia" w:ascii="宋体" w:hAnsi="宋体" w:eastAsia="宋体" w:cs="宋体"/>
                <w:i w:val="0"/>
                <w:iCs w:val="0"/>
                <w:color w:val="000000"/>
                <w:kern w:val="0"/>
                <w:sz w:val="24"/>
                <w:szCs w:val="24"/>
                <w:u w:val="none"/>
                <w:lang w:val="en-US" w:eastAsia="zh-CN" w:bidi="ar"/>
              </w:rPr>
              <w:t xml:space="preserve">目标1：、组织拟定卫生监督执法工作计划，并进行实施。2、受主管部门委托，参与拟定地方卫生标准，卫生监督理有关地方法规，规章以及其他规范性文件。3、协助主管部门定期向社会通报卫生监督结果。4、组织现场监督检测，采样工作。5、负责卫生监督信息的收集、整理、分析和报告。6、负责对卫生监督员进行法律知识和业务培训工作。7、开展卫生法律、法规知识的宣传教育提供法律咨询服务。8、负责组织实施县中医民族医疗机构及职业人员的执业资质、执业行为、医疗服务的监督检测工作；对违反违规行为立案调查和处理、负责相关举报、投诉的调查处理。9、承担主管部门交付的其他卫生监督任务为人民健康医疗与预防保健服务，常见病多发病的治疗和预防等；                                                                                                                                                                      </w:t>
            </w:r>
          </w:p>
        </w:tc>
        <w:tc>
          <w:tcPr>
            <w:tcW w:w="4488" w:type="dxa"/>
            <w:gridSpan w:val="6"/>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目标1：、组织拟定卫生监督执法工作计划，并进行实施。2、受主管部门委托，参与拟定地方卫生标准，卫生监督理有关地方法规，规章以及其他规范性文件。3、协助主管部门定期向社会通报卫生监督结果。4、组织现场监督检测，采样工作。5、负责卫生监督信息的收集、整理、分析和报告。6、负责对卫生监督员进行法律知识和业务培训工作。7、开展卫生法律、法规知识的宣传教育提供法律咨询服务。8、负责组织实施县中医民族医疗机构及职业人员的执业资质、执业行为、医疗服务的监督检测工作；对违反违规行为立案调查和处理、负责相关举报、投诉的调查处理。9、承担主管部门交付的其他卫生监督任务为人民健康医疗与预防保健服务，常见病多发病的治疗和预防等；                                                                                                                                                                      </w:t>
            </w:r>
          </w:p>
        </w:tc>
      </w:tr>
      <w:tr>
        <w:tblPrEx>
          <w:tblLayout w:type="fixed"/>
          <w:tblCellMar>
            <w:top w:w="0" w:type="dxa"/>
            <w:left w:w="108" w:type="dxa"/>
            <w:bottom w:w="0" w:type="dxa"/>
            <w:right w:w="108" w:type="dxa"/>
          </w:tblCellMar>
        </w:tblPrEx>
        <w:trPr>
          <w:trHeight w:val="885" w:hRule="atLeast"/>
        </w:trPr>
        <w:tc>
          <w:tcPr>
            <w:tcW w:w="448"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年度绩效指标</w:t>
            </w:r>
          </w:p>
        </w:tc>
        <w:tc>
          <w:tcPr>
            <w:tcW w:w="6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一级指标</w:t>
            </w:r>
          </w:p>
        </w:tc>
        <w:tc>
          <w:tcPr>
            <w:tcW w:w="1722"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二级指标</w:t>
            </w:r>
          </w:p>
        </w:tc>
        <w:tc>
          <w:tcPr>
            <w:tcW w:w="2692"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三级指标</w:t>
            </w:r>
          </w:p>
        </w:tc>
        <w:tc>
          <w:tcPr>
            <w:tcW w:w="134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34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Layout w:type="fixed"/>
          <w:tblCellMar>
            <w:top w:w="0" w:type="dxa"/>
            <w:left w:w="108" w:type="dxa"/>
            <w:bottom w:w="0" w:type="dxa"/>
            <w:right w:w="108" w:type="dxa"/>
          </w:tblCellMar>
        </w:tblPrEx>
        <w:trPr>
          <w:trHeight w:val="285" w:hRule="atLeast"/>
        </w:trPr>
        <w:tc>
          <w:tcPr>
            <w:tcW w:w="44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658"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产出指标</w:t>
            </w:r>
          </w:p>
        </w:tc>
        <w:tc>
          <w:tcPr>
            <w:tcW w:w="1722"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数量指标</w:t>
            </w:r>
          </w:p>
        </w:tc>
        <w:tc>
          <w:tcPr>
            <w:tcW w:w="269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特克斯县卫生监督执法局保障在职人数</w:t>
            </w:r>
          </w:p>
        </w:tc>
        <w:tc>
          <w:tcPr>
            <w:tcW w:w="134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=12人</w:t>
            </w:r>
          </w:p>
        </w:tc>
        <w:tc>
          <w:tcPr>
            <w:tcW w:w="134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12人</w:t>
            </w:r>
          </w:p>
        </w:tc>
      </w:tr>
      <w:tr>
        <w:tblPrEx>
          <w:tblLayout w:type="fixed"/>
          <w:tblCellMar>
            <w:top w:w="0" w:type="dxa"/>
            <w:left w:w="108" w:type="dxa"/>
            <w:bottom w:w="0" w:type="dxa"/>
            <w:right w:w="108" w:type="dxa"/>
          </w:tblCellMar>
        </w:tblPrEx>
        <w:trPr>
          <w:trHeight w:val="285" w:hRule="atLeast"/>
        </w:trPr>
        <w:tc>
          <w:tcPr>
            <w:tcW w:w="44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65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722"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hint="eastAsia" w:ascii="宋体" w:hAnsi="宋体" w:eastAsia="宋体" w:cs="宋体"/>
                <w:color w:val="auto"/>
                <w:kern w:val="0"/>
                <w:sz w:val="15"/>
                <w:szCs w:val="15"/>
              </w:rPr>
            </w:pPr>
          </w:p>
        </w:tc>
        <w:tc>
          <w:tcPr>
            <w:tcW w:w="269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特克斯县卫生监督执法局在退休人数</w:t>
            </w:r>
          </w:p>
        </w:tc>
        <w:tc>
          <w:tcPr>
            <w:tcW w:w="134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=3人</w:t>
            </w:r>
          </w:p>
        </w:tc>
        <w:tc>
          <w:tcPr>
            <w:tcW w:w="134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3人</w:t>
            </w:r>
          </w:p>
        </w:tc>
      </w:tr>
      <w:tr>
        <w:tblPrEx>
          <w:tblLayout w:type="fixed"/>
          <w:tblCellMar>
            <w:top w:w="0" w:type="dxa"/>
            <w:left w:w="108" w:type="dxa"/>
            <w:bottom w:w="0" w:type="dxa"/>
            <w:right w:w="108" w:type="dxa"/>
          </w:tblCellMar>
        </w:tblPrEx>
        <w:trPr>
          <w:trHeight w:val="285" w:hRule="atLeast"/>
        </w:trPr>
        <w:tc>
          <w:tcPr>
            <w:tcW w:w="44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65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722"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质量指标</w:t>
            </w:r>
          </w:p>
        </w:tc>
        <w:tc>
          <w:tcPr>
            <w:tcW w:w="269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全单位人员工资、社保等福利及日常公用经费发放准确率</w:t>
            </w:r>
          </w:p>
        </w:tc>
        <w:tc>
          <w:tcPr>
            <w:tcW w:w="134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=100%</w:t>
            </w:r>
          </w:p>
        </w:tc>
        <w:tc>
          <w:tcPr>
            <w:tcW w:w="134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100%</w:t>
            </w:r>
          </w:p>
        </w:tc>
      </w:tr>
      <w:tr>
        <w:tblPrEx>
          <w:tblLayout w:type="fixed"/>
          <w:tblCellMar>
            <w:top w:w="0" w:type="dxa"/>
            <w:left w:w="108" w:type="dxa"/>
            <w:bottom w:w="0" w:type="dxa"/>
            <w:right w:w="108" w:type="dxa"/>
          </w:tblCellMar>
        </w:tblPrEx>
        <w:trPr>
          <w:trHeight w:val="285" w:hRule="atLeast"/>
        </w:trPr>
        <w:tc>
          <w:tcPr>
            <w:tcW w:w="44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65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722"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时效指标</w:t>
            </w:r>
          </w:p>
        </w:tc>
        <w:tc>
          <w:tcPr>
            <w:tcW w:w="269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全单位人员工资、社保等福利及日常公用经费发放及时性</w:t>
            </w:r>
          </w:p>
        </w:tc>
        <w:tc>
          <w:tcPr>
            <w:tcW w:w="134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=100%</w:t>
            </w:r>
          </w:p>
        </w:tc>
        <w:tc>
          <w:tcPr>
            <w:tcW w:w="134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100%</w:t>
            </w:r>
          </w:p>
        </w:tc>
      </w:tr>
      <w:tr>
        <w:tblPrEx>
          <w:tblLayout w:type="fixed"/>
          <w:tblCellMar>
            <w:top w:w="0" w:type="dxa"/>
            <w:left w:w="108" w:type="dxa"/>
            <w:bottom w:w="0" w:type="dxa"/>
            <w:right w:w="108" w:type="dxa"/>
          </w:tblCellMar>
        </w:tblPrEx>
        <w:trPr>
          <w:trHeight w:val="285" w:hRule="atLeast"/>
        </w:trPr>
        <w:tc>
          <w:tcPr>
            <w:tcW w:w="44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65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722"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成本指标</w:t>
            </w:r>
          </w:p>
        </w:tc>
        <w:tc>
          <w:tcPr>
            <w:tcW w:w="269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人均工资福利支出</w:t>
            </w:r>
          </w:p>
        </w:tc>
        <w:tc>
          <w:tcPr>
            <w:tcW w:w="134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=10.55万元/人</w:t>
            </w:r>
          </w:p>
        </w:tc>
        <w:tc>
          <w:tcPr>
            <w:tcW w:w="134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10.55万元/人</w:t>
            </w:r>
          </w:p>
        </w:tc>
      </w:tr>
      <w:tr>
        <w:tblPrEx>
          <w:tblLayout w:type="fixed"/>
          <w:tblCellMar>
            <w:top w:w="0" w:type="dxa"/>
            <w:left w:w="108" w:type="dxa"/>
            <w:bottom w:w="0" w:type="dxa"/>
            <w:right w:w="108" w:type="dxa"/>
          </w:tblCellMar>
        </w:tblPrEx>
        <w:trPr>
          <w:trHeight w:val="285" w:hRule="atLeast"/>
        </w:trPr>
        <w:tc>
          <w:tcPr>
            <w:tcW w:w="44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65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722"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rPr>
            </w:pPr>
          </w:p>
        </w:tc>
        <w:tc>
          <w:tcPr>
            <w:tcW w:w="269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退休人员人均福利支出</w:t>
            </w:r>
          </w:p>
        </w:tc>
        <w:tc>
          <w:tcPr>
            <w:tcW w:w="134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=0.13万元/人</w:t>
            </w:r>
          </w:p>
        </w:tc>
        <w:tc>
          <w:tcPr>
            <w:tcW w:w="134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0.13万元/人</w:t>
            </w:r>
          </w:p>
        </w:tc>
      </w:tr>
      <w:tr>
        <w:tblPrEx>
          <w:tblLayout w:type="fixed"/>
          <w:tblCellMar>
            <w:top w:w="0" w:type="dxa"/>
            <w:left w:w="108" w:type="dxa"/>
            <w:bottom w:w="0" w:type="dxa"/>
            <w:right w:w="108" w:type="dxa"/>
          </w:tblCellMar>
        </w:tblPrEx>
        <w:trPr>
          <w:trHeight w:val="285" w:hRule="atLeast"/>
        </w:trPr>
        <w:tc>
          <w:tcPr>
            <w:tcW w:w="44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65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722"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hint="eastAsia" w:ascii="宋体" w:hAnsi="宋体" w:eastAsia="宋体" w:cs="宋体"/>
                <w:color w:val="auto"/>
                <w:kern w:val="0"/>
                <w:sz w:val="15"/>
                <w:szCs w:val="15"/>
              </w:rPr>
            </w:pPr>
          </w:p>
        </w:tc>
        <w:tc>
          <w:tcPr>
            <w:tcW w:w="269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人均日常公用经费支出</w:t>
            </w:r>
          </w:p>
        </w:tc>
        <w:tc>
          <w:tcPr>
            <w:tcW w:w="134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=0.365万元/人</w:t>
            </w:r>
          </w:p>
        </w:tc>
        <w:tc>
          <w:tcPr>
            <w:tcW w:w="134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0.365万元/人</w:t>
            </w:r>
          </w:p>
        </w:tc>
      </w:tr>
      <w:tr>
        <w:tblPrEx>
          <w:tblLayout w:type="fixed"/>
          <w:tblCellMar>
            <w:top w:w="0" w:type="dxa"/>
            <w:left w:w="108" w:type="dxa"/>
            <w:bottom w:w="0" w:type="dxa"/>
            <w:right w:w="108" w:type="dxa"/>
          </w:tblCellMar>
        </w:tblPrEx>
        <w:trPr>
          <w:trHeight w:val="285" w:hRule="atLeast"/>
        </w:trPr>
        <w:tc>
          <w:tcPr>
            <w:tcW w:w="44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658" w:type="dxa"/>
            <w:vMerge w:val="restart"/>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722"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社会效益指标</w:t>
            </w:r>
          </w:p>
        </w:tc>
        <w:tc>
          <w:tcPr>
            <w:tcW w:w="269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  提高对组织现场监督检测、医疗服务的监督检测</w:t>
            </w:r>
          </w:p>
        </w:tc>
        <w:tc>
          <w:tcPr>
            <w:tcW w:w="134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有效提高</w:t>
            </w:r>
          </w:p>
        </w:tc>
        <w:tc>
          <w:tcPr>
            <w:tcW w:w="134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有效提高</w:t>
            </w:r>
          </w:p>
        </w:tc>
      </w:tr>
      <w:tr>
        <w:tblPrEx>
          <w:tblLayout w:type="fixed"/>
          <w:tblCellMar>
            <w:top w:w="0" w:type="dxa"/>
            <w:left w:w="108" w:type="dxa"/>
            <w:bottom w:w="0" w:type="dxa"/>
            <w:right w:w="108" w:type="dxa"/>
          </w:tblCellMar>
        </w:tblPrEx>
        <w:trPr>
          <w:trHeight w:val="285" w:hRule="atLeast"/>
        </w:trPr>
        <w:tc>
          <w:tcPr>
            <w:tcW w:w="44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65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722"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生态效益指标</w:t>
            </w:r>
          </w:p>
        </w:tc>
        <w:tc>
          <w:tcPr>
            <w:tcW w:w="269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为人民群众的身体健康提高了卫生保障</w:t>
            </w:r>
          </w:p>
        </w:tc>
        <w:tc>
          <w:tcPr>
            <w:tcW w:w="134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有效保障</w:t>
            </w:r>
          </w:p>
        </w:tc>
        <w:tc>
          <w:tcPr>
            <w:tcW w:w="134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有效保障</w:t>
            </w:r>
          </w:p>
        </w:tc>
      </w:tr>
      <w:tr>
        <w:tblPrEx>
          <w:tblLayout w:type="fixed"/>
          <w:tblCellMar>
            <w:top w:w="0" w:type="dxa"/>
            <w:left w:w="108" w:type="dxa"/>
            <w:bottom w:w="0" w:type="dxa"/>
            <w:right w:w="108" w:type="dxa"/>
          </w:tblCellMar>
        </w:tblPrEx>
        <w:trPr>
          <w:trHeight w:val="285" w:hRule="atLeast"/>
        </w:trPr>
        <w:tc>
          <w:tcPr>
            <w:tcW w:w="44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65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722"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可持续影响指标</w:t>
            </w:r>
          </w:p>
        </w:tc>
        <w:tc>
          <w:tcPr>
            <w:tcW w:w="269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生产经营场所的卫生状况得到进一步改善</w:t>
            </w:r>
          </w:p>
        </w:tc>
        <w:tc>
          <w:tcPr>
            <w:tcW w:w="134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有效改善</w:t>
            </w:r>
          </w:p>
        </w:tc>
        <w:tc>
          <w:tcPr>
            <w:tcW w:w="134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有效改善</w:t>
            </w:r>
          </w:p>
        </w:tc>
      </w:tr>
      <w:tr>
        <w:tblPrEx>
          <w:tblLayout w:type="fixed"/>
          <w:tblCellMar>
            <w:top w:w="0" w:type="dxa"/>
            <w:left w:w="108" w:type="dxa"/>
            <w:bottom w:w="0" w:type="dxa"/>
            <w:right w:w="108" w:type="dxa"/>
          </w:tblCellMar>
        </w:tblPrEx>
        <w:trPr>
          <w:trHeight w:val="285" w:hRule="atLeast"/>
        </w:trPr>
        <w:tc>
          <w:tcPr>
            <w:tcW w:w="44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658" w:type="dxa"/>
            <w:tcBorders>
              <w:top w:val="nil"/>
              <w:left w:val="single" w:color="auto" w:sz="4" w:space="0"/>
              <w:bottom w:val="single" w:color="000000"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rPr>
            </w:pPr>
          </w:p>
        </w:tc>
        <w:tc>
          <w:tcPr>
            <w:tcW w:w="1722"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满意度指标</w:t>
            </w:r>
          </w:p>
        </w:tc>
        <w:tc>
          <w:tcPr>
            <w:tcW w:w="269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干部职工满意度</w:t>
            </w:r>
          </w:p>
        </w:tc>
        <w:tc>
          <w:tcPr>
            <w:tcW w:w="134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=100%</w:t>
            </w:r>
          </w:p>
        </w:tc>
        <w:tc>
          <w:tcPr>
            <w:tcW w:w="134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100%</w:t>
            </w:r>
          </w:p>
        </w:tc>
      </w:tr>
    </w:tbl>
    <w:p>
      <w:pPr>
        <w:widowControl/>
        <w:jc w:val="center"/>
        <w:rPr>
          <w:rFonts w:hint="eastAsia" w:ascii="宋体" w:hAnsi="宋体" w:eastAsia="宋体" w:cs="宋体"/>
          <w:color w:val="auto"/>
          <w:kern w:val="0"/>
          <w:sz w:val="18"/>
          <w:szCs w:val="18"/>
        </w:rPr>
      </w:pPr>
    </w:p>
    <w:p>
      <w:pPr>
        <w:spacing w:line="360" w:lineRule="auto"/>
        <w:rPr>
          <w:rFonts w:hint="eastAsia" w:asciiTheme="minorEastAsia" w:hAnsiTheme="minorEastAsia" w:eastAsiaTheme="minorEastAsia" w:cstheme="minorEastAsia"/>
          <w:color w:val="auto"/>
          <w:sz w:val="21"/>
          <w:szCs w:val="21"/>
        </w:rPr>
      </w:pPr>
    </w:p>
    <w:p>
      <w:pPr>
        <w:spacing w:line="360" w:lineRule="auto"/>
        <w:rPr>
          <w:rFonts w:hint="eastAsia" w:asciiTheme="minorEastAsia" w:hAnsiTheme="minorEastAsia" w:eastAsiaTheme="minorEastAsia" w:cstheme="minorEastAsia"/>
          <w:color w:val="auto"/>
          <w:sz w:val="21"/>
          <w:szCs w:val="21"/>
        </w:rPr>
      </w:pPr>
    </w:p>
    <w:p>
      <w:pPr>
        <w:rPr>
          <w:color w:val="auto"/>
        </w:rPr>
      </w:pPr>
      <w:r>
        <w:rPr>
          <w:rFonts w:hint="eastAsia" w:asciiTheme="minorEastAsia" w:hAnsiTheme="minorEastAsia" w:eastAsiaTheme="minorEastAsia" w:cstheme="minorEastAsia"/>
          <w:color w:val="auto"/>
          <w:sz w:val="21"/>
          <w:szCs w:val="21"/>
        </w:rPr>
        <w:br w:type="page"/>
      </w:r>
    </w:p>
    <w:p>
      <w:pPr>
        <w:rPr>
          <w:rFonts w:ascii="仿宋" w:hAnsi="仿宋" w:eastAsia="仿宋" w:cs="宋体"/>
          <w:color w:val="auto"/>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0AFF" w:usb1="00007843" w:usb2="00000001" w:usb3="00000000" w:csb0="400001BF" w:csb1="DFF7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63E1BE"/>
    <w:multiLevelType w:val="singleLevel"/>
    <w:tmpl w:val="C163E1BE"/>
    <w:lvl w:ilvl="0" w:tentative="0">
      <w:start w:val="1"/>
      <w:numFmt w:val="decimal"/>
      <w:suff w:val="nothing"/>
      <w:lvlText w:val="（%1）"/>
      <w:lvlJc w:val="left"/>
    </w:lvl>
  </w:abstractNum>
  <w:abstractNum w:abstractNumId="1">
    <w:nsid w:val="2F439B19"/>
    <w:multiLevelType w:val="singleLevel"/>
    <w:tmpl w:val="2F439B19"/>
    <w:lvl w:ilvl="0" w:tentative="0">
      <w:start w:val="1"/>
      <w:numFmt w:val="decimal"/>
      <w:suff w:val="nothing"/>
      <w:lvlText w:val="%1、"/>
      <w:lvlJc w:val="left"/>
    </w:lvl>
  </w:abstractNum>
  <w:abstractNum w:abstractNumId="2">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5D1176"/>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2D517C0"/>
    <w:rsid w:val="0350394C"/>
    <w:rsid w:val="03706E27"/>
    <w:rsid w:val="05314BBA"/>
    <w:rsid w:val="06882A3A"/>
    <w:rsid w:val="08317A87"/>
    <w:rsid w:val="0A351B1A"/>
    <w:rsid w:val="0C7B2924"/>
    <w:rsid w:val="0CAE4154"/>
    <w:rsid w:val="0DF643F5"/>
    <w:rsid w:val="0E9A5E97"/>
    <w:rsid w:val="0F77523A"/>
    <w:rsid w:val="10817000"/>
    <w:rsid w:val="13F84792"/>
    <w:rsid w:val="1EB60E4D"/>
    <w:rsid w:val="23381C98"/>
    <w:rsid w:val="242E7396"/>
    <w:rsid w:val="26DA7E7C"/>
    <w:rsid w:val="2F522AC0"/>
    <w:rsid w:val="31E87469"/>
    <w:rsid w:val="328148EF"/>
    <w:rsid w:val="32AB72E1"/>
    <w:rsid w:val="338136F7"/>
    <w:rsid w:val="352B0431"/>
    <w:rsid w:val="36B650CD"/>
    <w:rsid w:val="3B5B53F7"/>
    <w:rsid w:val="3D9013CF"/>
    <w:rsid w:val="3E421147"/>
    <w:rsid w:val="428C3B49"/>
    <w:rsid w:val="467423FD"/>
    <w:rsid w:val="470F4090"/>
    <w:rsid w:val="48D73155"/>
    <w:rsid w:val="4A461527"/>
    <w:rsid w:val="4F683E7F"/>
    <w:rsid w:val="51377E4A"/>
    <w:rsid w:val="5539513B"/>
    <w:rsid w:val="55B90E3A"/>
    <w:rsid w:val="571736C6"/>
    <w:rsid w:val="584C1AD1"/>
    <w:rsid w:val="62205E0B"/>
    <w:rsid w:val="69204C13"/>
    <w:rsid w:val="6AD458C8"/>
    <w:rsid w:val="6CA726F3"/>
    <w:rsid w:val="6E3C6A4B"/>
    <w:rsid w:val="75627107"/>
    <w:rsid w:val="773F013A"/>
    <w:rsid w:val="78196D4A"/>
    <w:rsid w:val="7A594AC9"/>
    <w:rsid w:val="7C8A1EF0"/>
    <w:rsid w:val="7D5852BD"/>
    <w:rsid w:val="7F3851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9012</Words>
  <Characters>9493</Characters>
  <Lines>72</Lines>
  <Paragraphs>20</Paragraphs>
  <TotalTime>1</TotalTime>
  <ScaleCrop>false</ScaleCrop>
  <LinksUpToDate>false</LinksUpToDate>
  <CharactersWithSpaces>9883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wq</cp:lastModifiedBy>
  <dcterms:modified xsi:type="dcterms:W3CDTF">2023-08-11T03:18:48Z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19A5875BA7664951A7F0D7AA188CDA51</vt:lpwstr>
  </property>
</Properties>
</file>